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E828" w14:textId="6C9F0235" w:rsidR="00BF2E13" w:rsidRDefault="00BF2E13"/>
    <w:p w14:paraId="2B24A7B6" w14:textId="620EAC21" w:rsidR="00742E69" w:rsidRDefault="00742E69" w:rsidP="00742E69">
      <w:pPr>
        <w:jc w:val="center"/>
      </w:pPr>
      <w:r>
        <w:rPr>
          <w:noProof/>
        </w:rPr>
        <w:drawing>
          <wp:inline distT="0" distB="0" distL="0" distR="0" wp14:anchorId="67EE6054" wp14:editId="0A85D770">
            <wp:extent cx="3124200" cy="55661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6848" cy="565990"/>
                    </a:xfrm>
                    <a:prstGeom prst="rect">
                      <a:avLst/>
                    </a:prstGeom>
                    <a:noFill/>
                    <a:ln>
                      <a:noFill/>
                    </a:ln>
                  </pic:spPr>
                </pic:pic>
              </a:graphicData>
            </a:graphic>
          </wp:inline>
        </w:drawing>
      </w:r>
    </w:p>
    <w:p w14:paraId="73C1BE12" w14:textId="6AA5BCA3" w:rsidR="00742E69" w:rsidRDefault="00742E69"/>
    <w:p w14:paraId="73429C0B" w14:textId="5D69423D" w:rsidR="00742E69" w:rsidRDefault="00742E69"/>
    <w:p w14:paraId="2A1EFBE6" w14:textId="01B262F3" w:rsidR="00742E69" w:rsidRDefault="00742E69"/>
    <w:p w14:paraId="338AC730" w14:textId="5A3FDCB2" w:rsidR="00742E69" w:rsidRDefault="00742E69"/>
    <w:p w14:paraId="0A897B2B" w14:textId="561FD343" w:rsidR="00F2070A" w:rsidRPr="00F2070A" w:rsidRDefault="00F2070A" w:rsidP="00F2070A">
      <w:pPr>
        <w:jc w:val="center"/>
        <w:rPr>
          <w:rFonts w:cstheme="minorHAnsi"/>
          <w:b/>
          <w:bCs/>
          <w:sz w:val="36"/>
          <w:szCs w:val="36"/>
        </w:rPr>
      </w:pPr>
      <w:r>
        <w:rPr>
          <w:rFonts w:cstheme="minorHAnsi"/>
          <w:b/>
          <w:bCs/>
          <w:sz w:val="36"/>
          <w:szCs w:val="36"/>
        </w:rPr>
        <w:t xml:space="preserve">SMĚRNICE </w:t>
      </w:r>
      <w:r w:rsidRPr="00F2070A">
        <w:rPr>
          <w:rFonts w:cstheme="minorHAnsi"/>
          <w:b/>
          <w:bCs/>
          <w:sz w:val="36"/>
          <w:szCs w:val="36"/>
        </w:rPr>
        <w:t>PRO INTERNÍ OZNAMOVÁNÍ</w:t>
      </w:r>
    </w:p>
    <w:p w14:paraId="5F028263" w14:textId="77E239D1" w:rsidR="00742E69" w:rsidRPr="00B33FE7" w:rsidRDefault="00F2070A" w:rsidP="00F2070A">
      <w:pPr>
        <w:jc w:val="center"/>
        <w:rPr>
          <w:rFonts w:cstheme="minorHAnsi"/>
          <w:b/>
          <w:bCs/>
          <w:sz w:val="36"/>
          <w:szCs w:val="36"/>
        </w:rPr>
      </w:pPr>
      <w:r w:rsidRPr="00F2070A">
        <w:rPr>
          <w:rFonts w:cstheme="minorHAnsi"/>
          <w:b/>
          <w:bCs/>
          <w:sz w:val="36"/>
          <w:szCs w:val="36"/>
        </w:rPr>
        <w:t>SPOLEČNOSTI NOVASERVIS SPOL. S R.O.</w:t>
      </w:r>
    </w:p>
    <w:p w14:paraId="568408D2" w14:textId="74365AA1" w:rsidR="00742E69" w:rsidRPr="00B33FE7" w:rsidRDefault="00F2070A" w:rsidP="00742E69">
      <w:pPr>
        <w:jc w:val="center"/>
        <w:rPr>
          <w:rFonts w:cstheme="minorHAnsi"/>
          <w:b/>
          <w:bCs/>
          <w:sz w:val="36"/>
          <w:szCs w:val="36"/>
        </w:rPr>
      </w:pPr>
      <w:r>
        <w:rPr>
          <w:rFonts w:cstheme="minorHAnsi"/>
          <w:b/>
          <w:bCs/>
          <w:sz w:val="36"/>
          <w:szCs w:val="36"/>
        </w:rPr>
        <w:t>S</w:t>
      </w:r>
      <w:r w:rsidR="00742E69" w:rsidRPr="00F2070A">
        <w:rPr>
          <w:rFonts w:cstheme="minorHAnsi"/>
          <w:b/>
          <w:bCs/>
          <w:sz w:val="36"/>
          <w:szCs w:val="36"/>
        </w:rPr>
        <w:t> </w:t>
      </w:r>
      <w:r w:rsidRPr="00F2070A">
        <w:rPr>
          <w:rFonts w:cstheme="minorHAnsi"/>
          <w:b/>
          <w:bCs/>
          <w:sz w:val="36"/>
          <w:szCs w:val="36"/>
        </w:rPr>
        <w:t>6</w:t>
      </w:r>
      <w:r w:rsidR="00742E69" w:rsidRPr="00F2070A">
        <w:rPr>
          <w:rFonts w:cstheme="minorHAnsi"/>
          <w:b/>
          <w:bCs/>
          <w:sz w:val="36"/>
          <w:szCs w:val="36"/>
        </w:rPr>
        <w:t>.</w:t>
      </w:r>
      <w:r w:rsidRPr="00F2070A">
        <w:rPr>
          <w:rFonts w:cstheme="minorHAnsi"/>
          <w:b/>
          <w:bCs/>
          <w:sz w:val="36"/>
          <w:szCs w:val="36"/>
        </w:rPr>
        <w:t>2</w:t>
      </w:r>
      <w:r w:rsidR="00742E69" w:rsidRPr="00F2070A">
        <w:rPr>
          <w:rFonts w:cstheme="minorHAnsi"/>
          <w:b/>
          <w:bCs/>
          <w:sz w:val="36"/>
          <w:szCs w:val="36"/>
        </w:rPr>
        <w:t>.-</w:t>
      </w:r>
      <w:r w:rsidRPr="00F2070A">
        <w:rPr>
          <w:rFonts w:cstheme="minorHAnsi"/>
          <w:b/>
          <w:bCs/>
          <w:sz w:val="36"/>
          <w:szCs w:val="36"/>
        </w:rPr>
        <w:t>1</w:t>
      </w:r>
      <w:r w:rsidR="009B4A86">
        <w:rPr>
          <w:rFonts w:cstheme="minorHAnsi"/>
          <w:b/>
          <w:bCs/>
          <w:sz w:val="36"/>
          <w:szCs w:val="36"/>
        </w:rPr>
        <w:t xml:space="preserve"> </w:t>
      </w:r>
    </w:p>
    <w:p w14:paraId="3C4D9C85" w14:textId="087A6FF7" w:rsidR="00742E69" w:rsidRPr="00B33FE7" w:rsidRDefault="00742E69" w:rsidP="00742E69">
      <w:pPr>
        <w:jc w:val="center"/>
        <w:rPr>
          <w:rFonts w:cstheme="minorHAnsi"/>
          <w:b/>
          <w:bCs/>
          <w:sz w:val="36"/>
          <w:szCs w:val="36"/>
        </w:rPr>
      </w:pPr>
    </w:p>
    <w:p w14:paraId="5C25FB72" w14:textId="6507EE8E" w:rsidR="00742E69" w:rsidRPr="00B33FE7" w:rsidRDefault="00742E69" w:rsidP="00742E69">
      <w:pPr>
        <w:rPr>
          <w:rFonts w:cstheme="minorHAnsi"/>
          <w:b/>
          <w:bCs/>
          <w:sz w:val="24"/>
          <w:szCs w:val="24"/>
        </w:rPr>
      </w:pPr>
      <w:r w:rsidRPr="00B33FE7">
        <w:rPr>
          <w:rFonts w:cstheme="minorHAnsi"/>
          <w:b/>
          <w:bCs/>
          <w:sz w:val="24"/>
          <w:szCs w:val="24"/>
        </w:rPr>
        <w:t>Schválení pro použití ve společnosti NOVASERVIS spol. s r.o.</w:t>
      </w:r>
    </w:p>
    <w:tbl>
      <w:tblPr>
        <w:tblStyle w:val="Mkatabulky"/>
        <w:tblW w:w="9493" w:type="dxa"/>
        <w:tblLook w:val="04A0" w:firstRow="1" w:lastRow="0" w:firstColumn="1" w:lastColumn="0" w:noHBand="0" w:noVBand="1"/>
      </w:tblPr>
      <w:tblGrid>
        <w:gridCol w:w="1803"/>
        <w:gridCol w:w="2278"/>
        <w:gridCol w:w="2253"/>
        <w:gridCol w:w="1189"/>
        <w:gridCol w:w="1970"/>
      </w:tblGrid>
      <w:tr w:rsidR="00742E69" w:rsidRPr="00B33FE7" w14:paraId="1EFDFA3D" w14:textId="77777777" w:rsidTr="0075129B">
        <w:trPr>
          <w:cnfStyle w:val="100000000000" w:firstRow="1" w:lastRow="0" w:firstColumn="0" w:lastColumn="0" w:oddVBand="0" w:evenVBand="0" w:oddHBand="0" w:evenHBand="0" w:firstRowFirstColumn="0" w:firstRowLastColumn="0" w:lastRowFirstColumn="0" w:lastRowLastColumn="0"/>
          <w:trHeight w:val="482"/>
        </w:trPr>
        <w:tc>
          <w:tcPr>
            <w:tcW w:w="1812" w:type="dxa"/>
            <w:shd w:val="clear" w:color="auto" w:fill="D0CECE" w:themeFill="background2" w:themeFillShade="E6"/>
          </w:tcPr>
          <w:p w14:paraId="3B4C83FE" w14:textId="77777777" w:rsidR="00742E69" w:rsidRPr="00B33FE7" w:rsidRDefault="00742E69" w:rsidP="00742E69">
            <w:pPr>
              <w:rPr>
                <w:rFonts w:cstheme="minorHAnsi"/>
                <w:b/>
                <w:bCs/>
                <w:sz w:val="24"/>
                <w:szCs w:val="24"/>
              </w:rPr>
            </w:pPr>
          </w:p>
        </w:tc>
        <w:tc>
          <w:tcPr>
            <w:tcW w:w="2294" w:type="dxa"/>
            <w:shd w:val="clear" w:color="auto" w:fill="D0CECE" w:themeFill="background2" w:themeFillShade="E6"/>
          </w:tcPr>
          <w:p w14:paraId="01708A2F" w14:textId="27EF7A9E" w:rsidR="00742E69" w:rsidRPr="00B33FE7" w:rsidRDefault="00742E69" w:rsidP="00742E69">
            <w:pPr>
              <w:jc w:val="center"/>
              <w:rPr>
                <w:rFonts w:cstheme="minorHAnsi"/>
                <w:b/>
                <w:bCs/>
                <w:color w:val="000000" w:themeColor="text1"/>
              </w:rPr>
            </w:pPr>
            <w:r w:rsidRPr="00B33FE7">
              <w:rPr>
                <w:rFonts w:cstheme="minorHAnsi"/>
                <w:b/>
                <w:bCs/>
                <w:color w:val="000000" w:themeColor="text1"/>
              </w:rPr>
              <w:t>Jméno</w:t>
            </w:r>
          </w:p>
        </w:tc>
        <w:tc>
          <w:tcPr>
            <w:tcW w:w="2268" w:type="dxa"/>
            <w:shd w:val="clear" w:color="auto" w:fill="D0CECE" w:themeFill="background2" w:themeFillShade="E6"/>
          </w:tcPr>
          <w:p w14:paraId="5571D78F" w14:textId="6685F132" w:rsidR="00742E69" w:rsidRPr="00B33FE7" w:rsidRDefault="00742E69" w:rsidP="00742E69">
            <w:pPr>
              <w:jc w:val="center"/>
              <w:rPr>
                <w:rFonts w:cstheme="minorHAnsi"/>
                <w:b/>
                <w:bCs/>
                <w:color w:val="000000" w:themeColor="text1"/>
              </w:rPr>
            </w:pPr>
            <w:r w:rsidRPr="00B33FE7">
              <w:rPr>
                <w:rFonts w:cstheme="minorHAnsi"/>
                <w:b/>
                <w:bCs/>
                <w:color w:val="000000" w:themeColor="text1"/>
              </w:rPr>
              <w:t>Funkce</w:t>
            </w:r>
          </w:p>
        </w:tc>
        <w:tc>
          <w:tcPr>
            <w:tcW w:w="1134" w:type="dxa"/>
            <w:shd w:val="clear" w:color="auto" w:fill="D0CECE" w:themeFill="background2" w:themeFillShade="E6"/>
          </w:tcPr>
          <w:p w14:paraId="0B67626B" w14:textId="5432192E" w:rsidR="00742E69" w:rsidRPr="00B33FE7" w:rsidRDefault="00742E69" w:rsidP="00742E69">
            <w:pPr>
              <w:jc w:val="center"/>
              <w:rPr>
                <w:rFonts w:cstheme="minorHAnsi"/>
                <w:b/>
                <w:bCs/>
                <w:color w:val="000000" w:themeColor="text1"/>
              </w:rPr>
            </w:pPr>
            <w:r w:rsidRPr="00B33FE7">
              <w:rPr>
                <w:rFonts w:cstheme="minorHAnsi"/>
                <w:b/>
                <w:bCs/>
                <w:color w:val="000000" w:themeColor="text1"/>
              </w:rPr>
              <w:t>Datum</w:t>
            </w:r>
          </w:p>
        </w:tc>
        <w:tc>
          <w:tcPr>
            <w:tcW w:w="1985" w:type="dxa"/>
            <w:shd w:val="clear" w:color="auto" w:fill="D0CECE" w:themeFill="background2" w:themeFillShade="E6"/>
          </w:tcPr>
          <w:p w14:paraId="18375D2B" w14:textId="66F29272" w:rsidR="00742E69" w:rsidRPr="00B33FE7" w:rsidRDefault="00742E69" w:rsidP="00742E69">
            <w:pPr>
              <w:jc w:val="center"/>
              <w:rPr>
                <w:rFonts w:cstheme="minorHAnsi"/>
                <w:b/>
                <w:bCs/>
                <w:color w:val="000000" w:themeColor="text1"/>
              </w:rPr>
            </w:pPr>
            <w:r w:rsidRPr="00B33FE7">
              <w:rPr>
                <w:rFonts w:cstheme="minorHAnsi"/>
                <w:b/>
                <w:bCs/>
                <w:color w:val="000000" w:themeColor="text1"/>
              </w:rPr>
              <w:t>Podpis</w:t>
            </w:r>
          </w:p>
        </w:tc>
      </w:tr>
      <w:tr w:rsidR="00742E69" w:rsidRPr="00B33FE7" w14:paraId="063231B6" w14:textId="77777777" w:rsidTr="0075129B">
        <w:trPr>
          <w:trHeight w:val="833"/>
        </w:trPr>
        <w:tc>
          <w:tcPr>
            <w:tcW w:w="1812" w:type="dxa"/>
          </w:tcPr>
          <w:p w14:paraId="1075B1CE" w14:textId="2F2D1A05" w:rsidR="00742E69" w:rsidRPr="00B33FE7" w:rsidRDefault="00742E69" w:rsidP="00742E69">
            <w:pPr>
              <w:rPr>
                <w:rFonts w:cstheme="minorHAnsi"/>
                <w:b/>
                <w:bCs/>
              </w:rPr>
            </w:pPr>
            <w:r w:rsidRPr="00B33FE7">
              <w:rPr>
                <w:rFonts w:cstheme="minorHAnsi"/>
                <w:b/>
                <w:bCs/>
              </w:rPr>
              <w:t>Zpracoval</w:t>
            </w:r>
          </w:p>
        </w:tc>
        <w:tc>
          <w:tcPr>
            <w:tcW w:w="2294" w:type="dxa"/>
          </w:tcPr>
          <w:p w14:paraId="0E32F5CB" w14:textId="1A673859" w:rsidR="00742E69" w:rsidRPr="00B33FE7" w:rsidRDefault="0075129B" w:rsidP="00742E69">
            <w:pPr>
              <w:rPr>
                <w:rFonts w:cstheme="minorHAnsi"/>
                <w:sz w:val="24"/>
                <w:szCs w:val="24"/>
              </w:rPr>
            </w:pPr>
            <w:r>
              <w:rPr>
                <w:rFonts w:cstheme="minorHAnsi"/>
                <w:sz w:val="24"/>
                <w:szCs w:val="24"/>
              </w:rPr>
              <w:t xml:space="preserve">Mgr. </w:t>
            </w:r>
            <w:r w:rsidR="00F2070A">
              <w:rPr>
                <w:rFonts w:cstheme="minorHAnsi"/>
                <w:sz w:val="24"/>
                <w:szCs w:val="24"/>
              </w:rPr>
              <w:t>Darina Ličková</w:t>
            </w:r>
          </w:p>
        </w:tc>
        <w:tc>
          <w:tcPr>
            <w:tcW w:w="2268" w:type="dxa"/>
          </w:tcPr>
          <w:p w14:paraId="540C2AF0" w14:textId="25119376" w:rsidR="00742E69" w:rsidRPr="00B33FE7" w:rsidRDefault="00F2070A" w:rsidP="00742E69">
            <w:pPr>
              <w:rPr>
                <w:rFonts w:cstheme="minorHAnsi"/>
                <w:sz w:val="24"/>
                <w:szCs w:val="24"/>
              </w:rPr>
            </w:pPr>
            <w:r>
              <w:rPr>
                <w:rFonts w:cstheme="minorHAnsi"/>
                <w:sz w:val="24"/>
                <w:szCs w:val="24"/>
              </w:rPr>
              <w:t>HR Business Partner Junior</w:t>
            </w:r>
          </w:p>
        </w:tc>
        <w:tc>
          <w:tcPr>
            <w:tcW w:w="1134" w:type="dxa"/>
          </w:tcPr>
          <w:p w14:paraId="71D809E2" w14:textId="45DDEE9E" w:rsidR="00742E69" w:rsidRPr="00F2070A" w:rsidRDefault="00F2070A" w:rsidP="00742E69">
            <w:pPr>
              <w:rPr>
                <w:rFonts w:cstheme="minorHAnsi"/>
                <w:sz w:val="24"/>
                <w:szCs w:val="24"/>
              </w:rPr>
            </w:pPr>
            <w:r w:rsidRPr="00F2070A">
              <w:rPr>
                <w:rFonts w:cstheme="minorHAnsi"/>
                <w:sz w:val="24"/>
                <w:szCs w:val="24"/>
              </w:rPr>
              <w:t>9.2025</w:t>
            </w:r>
          </w:p>
        </w:tc>
        <w:tc>
          <w:tcPr>
            <w:tcW w:w="1985" w:type="dxa"/>
          </w:tcPr>
          <w:p w14:paraId="080014FF" w14:textId="77777777" w:rsidR="00742E69" w:rsidRPr="00B33FE7" w:rsidRDefault="00742E69" w:rsidP="00742E69">
            <w:pPr>
              <w:rPr>
                <w:rFonts w:cstheme="minorHAnsi"/>
                <w:b/>
                <w:bCs/>
                <w:sz w:val="24"/>
                <w:szCs w:val="24"/>
              </w:rPr>
            </w:pPr>
          </w:p>
        </w:tc>
      </w:tr>
      <w:tr w:rsidR="00742E69" w:rsidRPr="00B33FE7" w14:paraId="3126207E" w14:textId="77777777" w:rsidTr="0075129B">
        <w:trPr>
          <w:trHeight w:val="799"/>
        </w:trPr>
        <w:tc>
          <w:tcPr>
            <w:tcW w:w="1812" w:type="dxa"/>
          </w:tcPr>
          <w:p w14:paraId="4EA9DA00" w14:textId="27EFF3D0" w:rsidR="00742E69" w:rsidRPr="00B33FE7" w:rsidRDefault="00742E69" w:rsidP="00742E69">
            <w:pPr>
              <w:rPr>
                <w:rFonts w:cstheme="minorHAnsi"/>
                <w:b/>
                <w:bCs/>
              </w:rPr>
            </w:pPr>
            <w:r w:rsidRPr="00B33FE7">
              <w:rPr>
                <w:rFonts w:cstheme="minorHAnsi"/>
                <w:b/>
                <w:bCs/>
              </w:rPr>
              <w:t>Ověřil</w:t>
            </w:r>
          </w:p>
        </w:tc>
        <w:tc>
          <w:tcPr>
            <w:tcW w:w="2294" w:type="dxa"/>
          </w:tcPr>
          <w:p w14:paraId="651D0565" w14:textId="7A48D820" w:rsidR="00742E69" w:rsidRPr="00F2070A" w:rsidRDefault="0075129B" w:rsidP="00742E69">
            <w:pPr>
              <w:rPr>
                <w:rFonts w:cstheme="minorHAnsi"/>
                <w:sz w:val="24"/>
                <w:szCs w:val="24"/>
              </w:rPr>
            </w:pPr>
            <w:r>
              <w:rPr>
                <w:rFonts w:cstheme="minorHAnsi"/>
                <w:sz w:val="24"/>
                <w:szCs w:val="24"/>
              </w:rPr>
              <w:t>JUDr. Radek Adámek</w:t>
            </w:r>
          </w:p>
        </w:tc>
        <w:tc>
          <w:tcPr>
            <w:tcW w:w="2268" w:type="dxa"/>
          </w:tcPr>
          <w:p w14:paraId="2564D3E7" w14:textId="7A738E6E" w:rsidR="00742E69" w:rsidRPr="00F2070A" w:rsidRDefault="0075129B" w:rsidP="00742E69">
            <w:pPr>
              <w:rPr>
                <w:rFonts w:cstheme="minorHAnsi"/>
                <w:sz w:val="24"/>
                <w:szCs w:val="24"/>
              </w:rPr>
            </w:pPr>
            <w:r>
              <w:rPr>
                <w:rFonts w:cstheme="minorHAnsi"/>
                <w:sz w:val="24"/>
                <w:szCs w:val="24"/>
              </w:rPr>
              <w:t>Firemní advokát</w:t>
            </w:r>
          </w:p>
        </w:tc>
        <w:tc>
          <w:tcPr>
            <w:tcW w:w="1134" w:type="dxa"/>
          </w:tcPr>
          <w:p w14:paraId="28220116" w14:textId="552BB6CE" w:rsidR="00742E69" w:rsidRPr="00F2070A" w:rsidRDefault="00693B89" w:rsidP="00742E69">
            <w:pPr>
              <w:rPr>
                <w:rFonts w:cstheme="minorHAnsi"/>
                <w:sz w:val="24"/>
                <w:szCs w:val="24"/>
              </w:rPr>
            </w:pPr>
            <w:r>
              <w:rPr>
                <w:rFonts w:cstheme="minorHAnsi"/>
                <w:sz w:val="24"/>
                <w:szCs w:val="24"/>
              </w:rPr>
              <w:t>10</w:t>
            </w:r>
            <w:r w:rsidR="00F2070A">
              <w:rPr>
                <w:rFonts w:cstheme="minorHAnsi"/>
                <w:sz w:val="24"/>
                <w:szCs w:val="24"/>
              </w:rPr>
              <w:t>.9.2025</w:t>
            </w:r>
          </w:p>
        </w:tc>
        <w:tc>
          <w:tcPr>
            <w:tcW w:w="1985" w:type="dxa"/>
          </w:tcPr>
          <w:p w14:paraId="3B907D5D" w14:textId="77777777" w:rsidR="00742E69" w:rsidRPr="00B33FE7" w:rsidRDefault="00742E69" w:rsidP="00742E69">
            <w:pPr>
              <w:rPr>
                <w:rFonts w:cstheme="minorHAnsi"/>
                <w:b/>
                <w:bCs/>
                <w:sz w:val="24"/>
                <w:szCs w:val="24"/>
              </w:rPr>
            </w:pPr>
          </w:p>
        </w:tc>
      </w:tr>
      <w:tr w:rsidR="00742E69" w:rsidRPr="00B33FE7" w14:paraId="7532547D" w14:textId="77777777" w:rsidTr="0075129B">
        <w:trPr>
          <w:trHeight w:val="819"/>
        </w:trPr>
        <w:tc>
          <w:tcPr>
            <w:tcW w:w="1812" w:type="dxa"/>
          </w:tcPr>
          <w:p w14:paraId="1EB95519" w14:textId="7D55E247" w:rsidR="00742E69" w:rsidRPr="00B33FE7" w:rsidRDefault="00742E69" w:rsidP="00742E69">
            <w:pPr>
              <w:rPr>
                <w:rFonts w:cstheme="minorHAnsi"/>
                <w:b/>
                <w:bCs/>
              </w:rPr>
            </w:pPr>
            <w:r w:rsidRPr="00B33FE7">
              <w:rPr>
                <w:rFonts w:cstheme="minorHAnsi"/>
                <w:b/>
                <w:bCs/>
              </w:rPr>
              <w:t>Schválil</w:t>
            </w:r>
          </w:p>
        </w:tc>
        <w:tc>
          <w:tcPr>
            <w:tcW w:w="2294" w:type="dxa"/>
          </w:tcPr>
          <w:p w14:paraId="470252F5" w14:textId="3DA91155" w:rsidR="00742E69" w:rsidRPr="00C609A4" w:rsidRDefault="0075129B" w:rsidP="00742E69">
            <w:pPr>
              <w:rPr>
                <w:rFonts w:cstheme="minorHAnsi"/>
                <w:sz w:val="24"/>
                <w:szCs w:val="24"/>
              </w:rPr>
            </w:pPr>
            <w:r>
              <w:rPr>
                <w:rFonts w:cstheme="minorHAnsi"/>
                <w:sz w:val="24"/>
                <w:szCs w:val="24"/>
              </w:rPr>
              <w:t xml:space="preserve">Ing. </w:t>
            </w:r>
            <w:r w:rsidR="00F2070A">
              <w:rPr>
                <w:rFonts w:cstheme="minorHAnsi"/>
                <w:sz w:val="24"/>
                <w:szCs w:val="24"/>
              </w:rPr>
              <w:t>Radim Boček</w:t>
            </w:r>
          </w:p>
        </w:tc>
        <w:tc>
          <w:tcPr>
            <w:tcW w:w="2268" w:type="dxa"/>
          </w:tcPr>
          <w:p w14:paraId="3F3567A8" w14:textId="11784D38" w:rsidR="00742E69" w:rsidRPr="00C609A4" w:rsidRDefault="00F2070A" w:rsidP="00742E69">
            <w:pPr>
              <w:rPr>
                <w:rFonts w:cstheme="minorHAnsi"/>
                <w:sz w:val="24"/>
                <w:szCs w:val="24"/>
              </w:rPr>
            </w:pPr>
            <w:r>
              <w:rPr>
                <w:rFonts w:cstheme="minorHAnsi"/>
                <w:sz w:val="24"/>
                <w:szCs w:val="24"/>
              </w:rPr>
              <w:t>Jednatel</w:t>
            </w:r>
          </w:p>
        </w:tc>
        <w:tc>
          <w:tcPr>
            <w:tcW w:w="1134" w:type="dxa"/>
          </w:tcPr>
          <w:p w14:paraId="7ED66C06" w14:textId="021F30C7" w:rsidR="00742E69" w:rsidRPr="00F2070A" w:rsidRDefault="00693B89" w:rsidP="00742E69">
            <w:pPr>
              <w:rPr>
                <w:rFonts w:cstheme="minorHAnsi"/>
                <w:sz w:val="24"/>
                <w:szCs w:val="24"/>
              </w:rPr>
            </w:pPr>
            <w:r>
              <w:rPr>
                <w:rFonts w:cstheme="minorHAnsi"/>
                <w:sz w:val="24"/>
                <w:szCs w:val="24"/>
              </w:rPr>
              <w:t>10</w:t>
            </w:r>
            <w:r w:rsidR="00F2070A" w:rsidRPr="00F2070A">
              <w:rPr>
                <w:rFonts w:cstheme="minorHAnsi"/>
                <w:sz w:val="24"/>
                <w:szCs w:val="24"/>
              </w:rPr>
              <w:t>.9.2025</w:t>
            </w:r>
          </w:p>
        </w:tc>
        <w:tc>
          <w:tcPr>
            <w:tcW w:w="1985" w:type="dxa"/>
          </w:tcPr>
          <w:p w14:paraId="02FB13C6" w14:textId="77777777" w:rsidR="00742E69" w:rsidRPr="00B33FE7" w:rsidRDefault="00742E69" w:rsidP="00742E69">
            <w:pPr>
              <w:rPr>
                <w:rFonts w:cstheme="minorHAnsi"/>
                <w:b/>
                <w:bCs/>
                <w:sz w:val="24"/>
                <w:szCs w:val="24"/>
              </w:rPr>
            </w:pPr>
          </w:p>
        </w:tc>
      </w:tr>
    </w:tbl>
    <w:p w14:paraId="7C57A369" w14:textId="369722CC" w:rsidR="00742E69" w:rsidRPr="00B33FE7" w:rsidRDefault="00742E69" w:rsidP="00742E69">
      <w:pPr>
        <w:rPr>
          <w:rFonts w:cstheme="minorHAnsi"/>
          <w:b/>
          <w:bCs/>
          <w:sz w:val="24"/>
          <w:szCs w:val="24"/>
        </w:rPr>
      </w:pPr>
    </w:p>
    <w:tbl>
      <w:tblPr>
        <w:tblStyle w:val="Mkatabulky"/>
        <w:tblW w:w="9493" w:type="dxa"/>
        <w:tblLook w:val="04A0" w:firstRow="1" w:lastRow="0" w:firstColumn="1" w:lastColumn="0" w:noHBand="0" w:noVBand="1"/>
      </w:tblPr>
      <w:tblGrid>
        <w:gridCol w:w="3681"/>
        <w:gridCol w:w="2360"/>
        <w:gridCol w:w="3452"/>
      </w:tblGrid>
      <w:tr w:rsidR="00C06D59" w:rsidRPr="00B33FE7" w14:paraId="7673B6C8" w14:textId="40598186" w:rsidTr="00C06D59">
        <w:trPr>
          <w:cnfStyle w:val="100000000000" w:firstRow="1" w:lastRow="0" w:firstColumn="0" w:lastColumn="0" w:oddVBand="0" w:evenVBand="0" w:oddHBand="0" w:evenHBand="0" w:firstRowFirstColumn="0" w:firstRowLastColumn="0" w:lastRowFirstColumn="0" w:lastRowLastColumn="0"/>
          <w:trHeight w:val="340"/>
        </w:trPr>
        <w:tc>
          <w:tcPr>
            <w:tcW w:w="3681" w:type="dxa"/>
          </w:tcPr>
          <w:p w14:paraId="3B137E3E" w14:textId="787BC3C5" w:rsidR="00C06D59" w:rsidRPr="00F72A72" w:rsidRDefault="00C06D59" w:rsidP="00742E69">
            <w:pPr>
              <w:rPr>
                <w:rFonts w:cstheme="minorHAnsi"/>
                <w:b/>
                <w:bCs/>
                <w:color w:val="000000" w:themeColor="text1"/>
              </w:rPr>
            </w:pPr>
            <w:r w:rsidRPr="00F72A72">
              <w:rPr>
                <w:rFonts w:cstheme="minorHAnsi"/>
                <w:b/>
                <w:bCs/>
                <w:color w:val="000000" w:themeColor="text1"/>
              </w:rPr>
              <w:t>Ev. číslo dokumentu</w:t>
            </w:r>
          </w:p>
        </w:tc>
        <w:tc>
          <w:tcPr>
            <w:tcW w:w="2360" w:type="dxa"/>
          </w:tcPr>
          <w:p w14:paraId="75DED5FB" w14:textId="7F070788" w:rsidR="00C06D59" w:rsidRPr="00F72A72" w:rsidRDefault="00F2070A" w:rsidP="00742E69">
            <w:pPr>
              <w:rPr>
                <w:rFonts w:cstheme="minorHAnsi"/>
                <w:b/>
                <w:bCs/>
                <w:color w:val="000000" w:themeColor="text1"/>
                <w:sz w:val="24"/>
                <w:szCs w:val="24"/>
              </w:rPr>
            </w:pPr>
            <w:r w:rsidRPr="00F72A72">
              <w:rPr>
                <w:rFonts w:cstheme="minorHAnsi"/>
                <w:b/>
                <w:bCs/>
                <w:color w:val="000000" w:themeColor="text1"/>
                <w:sz w:val="36"/>
                <w:szCs w:val="36"/>
              </w:rPr>
              <w:t>S</w:t>
            </w:r>
            <w:r w:rsidR="00C06D59" w:rsidRPr="00F72A72">
              <w:rPr>
                <w:rFonts w:cstheme="minorHAnsi"/>
                <w:b/>
                <w:bCs/>
                <w:color w:val="000000" w:themeColor="text1"/>
                <w:sz w:val="36"/>
                <w:szCs w:val="36"/>
              </w:rPr>
              <w:t xml:space="preserve"> </w:t>
            </w:r>
            <w:r w:rsidRPr="00F72A72">
              <w:rPr>
                <w:rFonts w:cstheme="minorHAnsi"/>
                <w:b/>
                <w:bCs/>
                <w:color w:val="000000" w:themeColor="text1"/>
                <w:sz w:val="36"/>
                <w:szCs w:val="36"/>
              </w:rPr>
              <w:t>6</w:t>
            </w:r>
            <w:r w:rsidR="00C06D59" w:rsidRPr="00F72A72">
              <w:rPr>
                <w:rFonts w:cstheme="minorHAnsi"/>
                <w:b/>
                <w:bCs/>
                <w:color w:val="000000" w:themeColor="text1"/>
                <w:sz w:val="36"/>
                <w:szCs w:val="36"/>
              </w:rPr>
              <w:t>.</w:t>
            </w:r>
            <w:r w:rsidRPr="00F72A72">
              <w:rPr>
                <w:rFonts w:cstheme="minorHAnsi"/>
                <w:b/>
                <w:bCs/>
                <w:color w:val="000000" w:themeColor="text1"/>
                <w:sz w:val="36"/>
                <w:szCs w:val="36"/>
              </w:rPr>
              <w:t>2</w:t>
            </w:r>
            <w:r w:rsidR="00C06D59" w:rsidRPr="00F72A72">
              <w:rPr>
                <w:rFonts w:cstheme="minorHAnsi"/>
                <w:b/>
                <w:bCs/>
                <w:color w:val="000000" w:themeColor="text1"/>
                <w:sz w:val="36"/>
                <w:szCs w:val="36"/>
              </w:rPr>
              <w:t>.-</w:t>
            </w:r>
            <w:r w:rsidRPr="00F72A72">
              <w:rPr>
                <w:rFonts w:cstheme="minorHAnsi"/>
                <w:b/>
                <w:bCs/>
                <w:color w:val="000000" w:themeColor="text1"/>
                <w:sz w:val="36"/>
                <w:szCs w:val="36"/>
              </w:rPr>
              <w:t>1</w:t>
            </w:r>
          </w:p>
        </w:tc>
        <w:tc>
          <w:tcPr>
            <w:tcW w:w="3452" w:type="dxa"/>
            <w:vMerge w:val="restart"/>
          </w:tcPr>
          <w:p w14:paraId="44CAB989" w14:textId="35B55A6A" w:rsidR="00C06D59" w:rsidRPr="00B33FE7" w:rsidRDefault="00C06D59" w:rsidP="00742E69">
            <w:pPr>
              <w:rPr>
                <w:rFonts w:cstheme="minorHAnsi"/>
                <w:b/>
                <w:bCs/>
                <w:color w:val="000000" w:themeColor="text1"/>
                <w:sz w:val="36"/>
                <w:szCs w:val="36"/>
              </w:rPr>
            </w:pPr>
            <w:r w:rsidRPr="00D31070">
              <w:rPr>
                <w:rFonts w:cstheme="minorHAnsi"/>
                <w:noProof/>
                <w:sz w:val="14"/>
                <w:szCs w:val="14"/>
              </w:rPr>
              <mc:AlternateContent>
                <mc:Choice Requires="wps">
                  <w:drawing>
                    <wp:anchor distT="0" distB="0" distL="114300" distR="114300" simplePos="0" relativeHeight="251658240" behindDoc="0" locked="0" layoutInCell="1" allowOverlap="1" wp14:anchorId="14548262" wp14:editId="20780FF1">
                      <wp:simplePos x="0" y="0"/>
                      <wp:positionH relativeFrom="column">
                        <wp:posOffset>229235</wp:posOffset>
                      </wp:positionH>
                      <wp:positionV relativeFrom="paragraph">
                        <wp:posOffset>208915</wp:posOffset>
                      </wp:positionV>
                      <wp:extent cx="1661160" cy="883920"/>
                      <wp:effectExtent l="0" t="0" r="15240" b="1143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160" cy="883920"/>
                              </a:xfrm>
                              <a:prstGeom prst="rect">
                                <a:avLst/>
                              </a:prstGeom>
                              <a:solidFill>
                                <a:sysClr val="window" lastClr="FFFFFF"/>
                              </a:solidFill>
                              <a:ln w="12700" cap="flat" cmpd="sng" algn="ctr">
                                <a:solidFill>
                                  <a:srgbClr val="FF0000"/>
                                </a:solidFill>
                                <a:prstDash val="solid"/>
                                <a:miter lim="800000"/>
                              </a:ln>
                              <a:effectLst/>
                            </wps:spPr>
                            <wps:txbx>
                              <w:txbxContent>
                                <w:p w14:paraId="7514EED0" w14:textId="77777777" w:rsidR="001E240D" w:rsidRPr="00433180" w:rsidRDefault="001E240D" w:rsidP="001E240D">
                                  <w:pPr>
                                    <w:spacing w:after="0"/>
                                    <w:jc w:val="center"/>
                                    <w:rPr>
                                      <w:b/>
                                      <w:bCs/>
                                      <w:color w:val="FF0000"/>
                                      <w:sz w:val="32"/>
                                      <w:szCs w:val="32"/>
                                    </w:rPr>
                                  </w:pPr>
                                  <w:r w:rsidRPr="00433180">
                                    <w:rPr>
                                      <w:b/>
                                      <w:bCs/>
                                      <w:color w:val="FF0000"/>
                                      <w:sz w:val="32"/>
                                      <w:szCs w:val="32"/>
                                    </w:rPr>
                                    <w:t>ORIGINÁL</w:t>
                                  </w:r>
                                </w:p>
                                <w:p w14:paraId="08578485" w14:textId="70367AE1" w:rsidR="00C06D59" w:rsidRPr="00433180" w:rsidRDefault="00C06D59" w:rsidP="001E240D">
                                  <w:pPr>
                                    <w:spacing w:after="0"/>
                                    <w:jc w:val="center"/>
                                    <w:rPr>
                                      <w:b/>
                                      <w:bCs/>
                                      <w:color w:val="FF0000"/>
                                      <w:sz w:val="32"/>
                                      <w:szCs w:val="32"/>
                                    </w:rPr>
                                  </w:pPr>
                                  <w:r w:rsidRPr="00433180">
                                    <w:rPr>
                                      <w:b/>
                                      <w:bCs/>
                                      <w:color w:val="FF0000"/>
                                      <w:sz w:val="32"/>
                                      <w:szCs w:val="32"/>
                                    </w:rPr>
                                    <w:t>ŘÍZENÝ DOKUMENT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4548262" id="_x0000_t202" coordsize="21600,21600" o:spt="202" path="m,l,21600r21600,l21600,xe">
                      <v:stroke joinstyle="miter"/>
                      <v:path gradientshapeok="t" o:connecttype="rect"/>
                    </v:shapetype>
                    <v:shape id="Textové pole 2" o:spid="_x0000_s1026" type="#_x0000_t202" style="position:absolute;margin-left:18.05pt;margin-top:16.45pt;width:130.8pt;height:6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" fillcolor="window" strokecolor="red" strokeweight="1pt">
                      <v:path arrowok="t"/>
                      <v:textbox>
                        <w:txbxContent>
                          <w:p w14:paraId="7514EED0" w14:textId="77777777" w:rsidR="001E240D" w:rsidRPr="00433180" w:rsidRDefault="001E240D" w:rsidP="001E240D">
                            <w:pPr>
                              <w:spacing w:after="0"/>
                              <w:jc w:val="center"/>
                              <w:rPr>
                                <w:b/>
                                <w:bCs/>
                                <w:color w:val="FF0000"/>
                                <w:sz w:val="32"/>
                                <w:szCs w:val="32"/>
                              </w:rPr>
                            </w:pPr>
                            <w:r w:rsidRPr="00433180">
                              <w:rPr>
                                <w:b/>
                                <w:bCs/>
                                <w:color w:val="FF0000"/>
                                <w:sz w:val="32"/>
                                <w:szCs w:val="32"/>
                              </w:rPr>
                              <w:t>ORIGINÁL</w:t>
                            </w:r>
                          </w:p>
                          <w:p w14:paraId="08578485" w14:textId="70367AE1" w:rsidR="00C06D59" w:rsidRPr="00433180" w:rsidRDefault="00C06D59" w:rsidP="001E240D">
                            <w:pPr>
                              <w:spacing w:after="0"/>
                              <w:jc w:val="center"/>
                              <w:rPr>
                                <w:b/>
                                <w:bCs/>
                                <w:color w:val="FF0000"/>
                                <w:sz w:val="32"/>
                                <w:szCs w:val="32"/>
                              </w:rPr>
                            </w:pPr>
                            <w:r w:rsidRPr="00433180">
                              <w:rPr>
                                <w:b/>
                                <w:bCs/>
                                <w:color w:val="FF0000"/>
                                <w:sz w:val="32"/>
                                <w:szCs w:val="32"/>
                              </w:rPr>
                              <w:t>ŘÍZENÝ DOKUMENT</w:t>
                            </w:r>
                          </w:p>
                        </w:txbxContent>
                      </v:textbox>
                    </v:shape>
                  </w:pict>
                </mc:Fallback>
              </mc:AlternateContent>
            </w:r>
            <w:r w:rsidR="00D31070" w:rsidRPr="00D31070">
              <w:rPr>
                <w:rFonts w:cstheme="minorHAnsi"/>
                <w:b/>
                <w:bCs/>
                <w:color w:val="000000" w:themeColor="text1"/>
              </w:rPr>
              <w:t xml:space="preserve">Označení </w:t>
            </w:r>
            <w:r w:rsidR="005C4072">
              <w:rPr>
                <w:rFonts w:cstheme="minorHAnsi"/>
                <w:b/>
                <w:bCs/>
                <w:color w:val="000000" w:themeColor="text1"/>
              </w:rPr>
              <w:t>dokumentu</w:t>
            </w:r>
          </w:p>
        </w:tc>
      </w:tr>
      <w:tr w:rsidR="00C06D59" w:rsidRPr="00B33FE7" w14:paraId="7D195B1C" w14:textId="303C9E07" w:rsidTr="00C06D59">
        <w:trPr>
          <w:trHeight w:val="340"/>
        </w:trPr>
        <w:tc>
          <w:tcPr>
            <w:tcW w:w="3681" w:type="dxa"/>
          </w:tcPr>
          <w:p w14:paraId="43021AC2" w14:textId="4060E796" w:rsidR="00C06D59" w:rsidRPr="00B33FE7" w:rsidRDefault="00C06D59" w:rsidP="00742E69">
            <w:pPr>
              <w:rPr>
                <w:rFonts w:cstheme="minorHAnsi"/>
                <w:b/>
                <w:bCs/>
                <w:color w:val="000000" w:themeColor="text1"/>
              </w:rPr>
            </w:pPr>
            <w:r w:rsidRPr="00B33FE7">
              <w:rPr>
                <w:rFonts w:cstheme="minorHAnsi"/>
                <w:b/>
                <w:bCs/>
                <w:color w:val="000000" w:themeColor="text1"/>
              </w:rPr>
              <w:t>Verze dokumentu</w:t>
            </w:r>
          </w:p>
        </w:tc>
        <w:tc>
          <w:tcPr>
            <w:tcW w:w="2360" w:type="dxa"/>
          </w:tcPr>
          <w:p w14:paraId="42C95EC5" w14:textId="123A9A27" w:rsidR="00C06D59" w:rsidRPr="00B33FE7" w:rsidRDefault="000C40BE" w:rsidP="00742E69">
            <w:pPr>
              <w:rPr>
                <w:rFonts w:cstheme="minorHAnsi"/>
                <w:b/>
                <w:bCs/>
                <w:color w:val="000000" w:themeColor="text1"/>
                <w:sz w:val="28"/>
                <w:szCs w:val="28"/>
              </w:rPr>
            </w:pPr>
            <w:r>
              <w:rPr>
                <w:rFonts w:cstheme="minorHAnsi"/>
                <w:b/>
                <w:bCs/>
                <w:color w:val="000000" w:themeColor="text1"/>
                <w:sz w:val="28"/>
                <w:szCs w:val="28"/>
              </w:rPr>
              <w:t>1</w:t>
            </w:r>
            <w:r w:rsidR="003657BE" w:rsidRPr="00B33FE7">
              <w:rPr>
                <w:rFonts w:cstheme="minorHAnsi"/>
                <w:b/>
                <w:bCs/>
                <w:color w:val="000000" w:themeColor="text1"/>
                <w:sz w:val="28"/>
                <w:szCs w:val="28"/>
              </w:rPr>
              <w:t xml:space="preserve"> - </w:t>
            </w:r>
            <w:r w:rsidR="003657BE" w:rsidRPr="00B33FE7">
              <w:rPr>
                <w:rFonts w:cstheme="minorHAnsi"/>
                <w:b/>
                <w:bCs/>
                <w:color w:val="000000" w:themeColor="text1"/>
                <w:sz w:val="20"/>
                <w:szCs w:val="20"/>
              </w:rPr>
              <w:t>nový dokument</w:t>
            </w:r>
          </w:p>
        </w:tc>
        <w:tc>
          <w:tcPr>
            <w:tcW w:w="3452" w:type="dxa"/>
            <w:vMerge/>
          </w:tcPr>
          <w:p w14:paraId="2087438B" w14:textId="77777777" w:rsidR="00C06D59" w:rsidRPr="00B33FE7" w:rsidRDefault="00C06D59" w:rsidP="00742E69">
            <w:pPr>
              <w:rPr>
                <w:rFonts w:cstheme="minorHAnsi"/>
                <w:b/>
                <w:bCs/>
                <w:color w:val="000000" w:themeColor="text1"/>
                <w:sz w:val="28"/>
                <w:szCs w:val="28"/>
              </w:rPr>
            </w:pPr>
          </w:p>
        </w:tc>
      </w:tr>
      <w:tr w:rsidR="00C06D59" w:rsidRPr="00B33FE7" w14:paraId="65D590F3" w14:textId="0036EC8A" w:rsidTr="00C06D59">
        <w:trPr>
          <w:trHeight w:val="340"/>
        </w:trPr>
        <w:tc>
          <w:tcPr>
            <w:tcW w:w="3681" w:type="dxa"/>
          </w:tcPr>
          <w:p w14:paraId="753ABE72" w14:textId="40282CA9" w:rsidR="00C06D59" w:rsidRPr="00B33FE7" w:rsidRDefault="00C06D59" w:rsidP="00742E69">
            <w:pPr>
              <w:rPr>
                <w:rFonts w:cstheme="minorHAnsi"/>
                <w:b/>
                <w:bCs/>
                <w:color w:val="000000" w:themeColor="text1"/>
              </w:rPr>
            </w:pPr>
            <w:r w:rsidRPr="00B33FE7">
              <w:rPr>
                <w:rFonts w:cstheme="minorHAnsi"/>
                <w:b/>
                <w:bCs/>
                <w:color w:val="000000" w:themeColor="text1"/>
              </w:rPr>
              <w:t>Platnost dokumentu stanovena od</w:t>
            </w:r>
          </w:p>
        </w:tc>
        <w:tc>
          <w:tcPr>
            <w:tcW w:w="2360" w:type="dxa"/>
          </w:tcPr>
          <w:p w14:paraId="69A913F9" w14:textId="4F189B0B" w:rsidR="00C06D59" w:rsidRPr="00B33FE7" w:rsidRDefault="00346399" w:rsidP="00D33552">
            <w:pPr>
              <w:rPr>
                <w:rFonts w:cstheme="minorHAnsi"/>
                <w:color w:val="000000" w:themeColor="text1"/>
                <w:sz w:val="24"/>
                <w:szCs w:val="24"/>
              </w:rPr>
            </w:pPr>
            <w:r>
              <w:rPr>
                <w:rFonts w:cstheme="minorHAnsi"/>
                <w:color w:val="000000" w:themeColor="text1"/>
                <w:sz w:val="24"/>
                <w:szCs w:val="24"/>
              </w:rPr>
              <w:t>10</w:t>
            </w:r>
            <w:r w:rsidR="00F2070A">
              <w:rPr>
                <w:rFonts w:cstheme="minorHAnsi"/>
                <w:color w:val="000000" w:themeColor="text1"/>
                <w:sz w:val="24"/>
                <w:szCs w:val="24"/>
              </w:rPr>
              <w:t>.9.2025</w:t>
            </w:r>
          </w:p>
        </w:tc>
        <w:tc>
          <w:tcPr>
            <w:tcW w:w="3452" w:type="dxa"/>
            <w:vMerge/>
          </w:tcPr>
          <w:p w14:paraId="561D10B8" w14:textId="77777777" w:rsidR="00C06D59" w:rsidRPr="00B33FE7" w:rsidRDefault="00C06D59" w:rsidP="00742E69">
            <w:pPr>
              <w:rPr>
                <w:rFonts w:cstheme="minorHAnsi"/>
                <w:b/>
                <w:bCs/>
                <w:color w:val="000000" w:themeColor="text1"/>
                <w:sz w:val="24"/>
                <w:szCs w:val="24"/>
              </w:rPr>
            </w:pPr>
          </w:p>
        </w:tc>
      </w:tr>
      <w:tr w:rsidR="00C06D59" w:rsidRPr="00B33FE7" w14:paraId="112A0E22" w14:textId="34175197" w:rsidTr="00C06D59">
        <w:trPr>
          <w:trHeight w:val="340"/>
        </w:trPr>
        <w:tc>
          <w:tcPr>
            <w:tcW w:w="3681" w:type="dxa"/>
          </w:tcPr>
          <w:p w14:paraId="62FECDD3" w14:textId="6A239986" w:rsidR="00C06D59" w:rsidRPr="00B33FE7" w:rsidRDefault="00C06D59" w:rsidP="00742E69">
            <w:pPr>
              <w:rPr>
                <w:rFonts w:cstheme="minorHAnsi"/>
                <w:b/>
                <w:bCs/>
                <w:color w:val="000000" w:themeColor="text1"/>
              </w:rPr>
            </w:pPr>
            <w:r w:rsidRPr="00B33FE7">
              <w:rPr>
                <w:rFonts w:cstheme="minorHAnsi"/>
                <w:b/>
                <w:bCs/>
                <w:color w:val="000000" w:themeColor="text1"/>
              </w:rPr>
              <w:t>Účinnost dokumentu stanovena od</w:t>
            </w:r>
          </w:p>
        </w:tc>
        <w:tc>
          <w:tcPr>
            <w:tcW w:w="2360" w:type="dxa"/>
          </w:tcPr>
          <w:p w14:paraId="642B0D5D" w14:textId="27EBD786" w:rsidR="00C06D59" w:rsidRPr="00B33FE7" w:rsidRDefault="0019548B" w:rsidP="00742E69">
            <w:pPr>
              <w:rPr>
                <w:rFonts w:cstheme="minorHAnsi"/>
                <w:color w:val="000000" w:themeColor="text1"/>
                <w:sz w:val="24"/>
                <w:szCs w:val="24"/>
              </w:rPr>
            </w:pPr>
            <w:r>
              <w:rPr>
                <w:rFonts w:cstheme="minorHAnsi"/>
                <w:color w:val="000000" w:themeColor="text1"/>
                <w:sz w:val="24"/>
                <w:szCs w:val="24"/>
              </w:rPr>
              <w:t>19.9.2025</w:t>
            </w:r>
          </w:p>
        </w:tc>
        <w:tc>
          <w:tcPr>
            <w:tcW w:w="3452" w:type="dxa"/>
            <w:vMerge/>
          </w:tcPr>
          <w:p w14:paraId="7DA1E18C" w14:textId="77777777" w:rsidR="00C06D59" w:rsidRPr="00B33FE7" w:rsidRDefault="00C06D59" w:rsidP="00742E69">
            <w:pPr>
              <w:rPr>
                <w:rFonts w:cstheme="minorHAnsi"/>
                <w:b/>
                <w:bCs/>
                <w:color w:val="000000" w:themeColor="text1"/>
                <w:sz w:val="24"/>
                <w:szCs w:val="24"/>
              </w:rPr>
            </w:pPr>
          </w:p>
        </w:tc>
      </w:tr>
      <w:tr w:rsidR="00C06D59" w:rsidRPr="00B33FE7" w14:paraId="2DE5B481" w14:textId="4656B3F1" w:rsidTr="00C06D59">
        <w:trPr>
          <w:trHeight w:val="340"/>
        </w:trPr>
        <w:tc>
          <w:tcPr>
            <w:tcW w:w="3681" w:type="dxa"/>
          </w:tcPr>
          <w:p w14:paraId="372A2ED2" w14:textId="120EEBDE" w:rsidR="00C06D59" w:rsidRPr="00B33FE7" w:rsidRDefault="00C06D59" w:rsidP="00742E69">
            <w:pPr>
              <w:rPr>
                <w:rFonts w:cstheme="minorHAnsi"/>
                <w:b/>
                <w:bCs/>
                <w:color w:val="000000" w:themeColor="text1"/>
              </w:rPr>
            </w:pPr>
            <w:r w:rsidRPr="00B33FE7">
              <w:rPr>
                <w:rFonts w:cstheme="minorHAnsi"/>
                <w:b/>
                <w:bCs/>
                <w:color w:val="000000" w:themeColor="text1"/>
              </w:rPr>
              <w:t>Perioda pravidelné revize</w:t>
            </w:r>
          </w:p>
        </w:tc>
        <w:tc>
          <w:tcPr>
            <w:tcW w:w="2360" w:type="dxa"/>
          </w:tcPr>
          <w:p w14:paraId="68530A60" w14:textId="0955A3C9" w:rsidR="00C06D59" w:rsidRPr="00B33FE7" w:rsidRDefault="00F2070A" w:rsidP="00742E69">
            <w:pPr>
              <w:rPr>
                <w:rFonts w:cstheme="minorHAnsi"/>
                <w:color w:val="000000" w:themeColor="text1"/>
                <w:sz w:val="24"/>
                <w:szCs w:val="24"/>
              </w:rPr>
            </w:pPr>
            <w:r>
              <w:rPr>
                <w:rFonts w:cstheme="minorHAnsi"/>
                <w:color w:val="000000" w:themeColor="text1"/>
                <w:sz w:val="24"/>
                <w:szCs w:val="24"/>
              </w:rPr>
              <w:t>1x12 měsíců</w:t>
            </w:r>
          </w:p>
        </w:tc>
        <w:tc>
          <w:tcPr>
            <w:tcW w:w="3452" w:type="dxa"/>
            <w:vMerge/>
          </w:tcPr>
          <w:p w14:paraId="0741F69A" w14:textId="77777777" w:rsidR="00C06D59" w:rsidRPr="00B33FE7" w:rsidRDefault="00C06D59" w:rsidP="00742E69">
            <w:pPr>
              <w:rPr>
                <w:rFonts w:cstheme="minorHAnsi"/>
                <w:b/>
                <w:bCs/>
                <w:color w:val="000000" w:themeColor="text1"/>
                <w:sz w:val="24"/>
                <w:szCs w:val="24"/>
              </w:rPr>
            </w:pPr>
          </w:p>
        </w:tc>
      </w:tr>
    </w:tbl>
    <w:p w14:paraId="5F1EAB33" w14:textId="52CA4727" w:rsidR="00742E69" w:rsidRPr="00B33FE7" w:rsidRDefault="00742E69" w:rsidP="00742E69">
      <w:pPr>
        <w:rPr>
          <w:rFonts w:cstheme="minorHAnsi"/>
          <w:b/>
          <w:bCs/>
          <w:color w:val="000000" w:themeColor="text1"/>
          <w:sz w:val="24"/>
          <w:szCs w:val="24"/>
        </w:rPr>
      </w:pPr>
    </w:p>
    <w:p w14:paraId="670283F3" w14:textId="0873A005" w:rsidR="00C06D59" w:rsidRPr="00B33FE7" w:rsidRDefault="00C06D59" w:rsidP="00742E69">
      <w:pPr>
        <w:rPr>
          <w:rFonts w:cstheme="minorHAnsi"/>
          <w:b/>
          <w:bCs/>
          <w:color w:val="000000" w:themeColor="text1"/>
          <w:sz w:val="24"/>
          <w:szCs w:val="24"/>
        </w:rPr>
      </w:pPr>
    </w:p>
    <w:tbl>
      <w:tblPr>
        <w:tblStyle w:val="Mkatabulky"/>
        <w:tblW w:w="0" w:type="auto"/>
        <w:tblLook w:val="04A0" w:firstRow="1" w:lastRow="0" w:firstColumn="1" w:lastColumn="0" w:noHBand="0" w:noVBand="1"/>
      </w:tblPr>
      <w:tblGrid>
        <w:gridCol w:w="2689"/>
        <w:gridCol w:w="3402"/>
      </w:tblGrid>
      <w:tr w:rsidR="00C06D59" w:rsidRPr="00B33FE7" w14:paraId="37D016F0" w14:textId="77777777" w:rsidTr="00C06D59">
        <w:trPr>
          <w:cnfStyle w:val="100000000000" w:firstRow="1" w:lastRow="0" w:firstColumn="0" w:lastColumn="0" w:oddVBand="0" w:evenVBand="0" w:oddHBand="0" w:evenHBand="0" w:firstRowFirstColumn="0" w:firstRowLastColumn="0" w:lastRowFirstColumn="0" w:lastRowLastColumn="0"/>
        </w:trPr>
        <w:tc>
          <w:tcPr>
            <w:tcW w:w="2689" w:type="dxa"/>
          </w:tcPr>
          <w:p w14:paraId="3AF5B7A2" w14:textId="19F14AC8" w:rsidR="00C06D59" w:rsidRPr="00B33FE7" w:rsidRDefault="00C06D59" w:rsidP="00742E69">
            <w:pPr>
              <w:rPr>
                <w:rFonts w:cstheme="minorHAnsi"/>
                <w:b/>
                <w:bCs/>
                <w:color w:val="000000" w:themeColor="text1"/>
                <w:sz w:val="24"/>
                <w:szCs w:val="24"/>
              </w:rPr>
            </w:pPr>
            <w:r w:rsidRPr="00B33FE7">
              <w:rPr>
                <w:rFonts w:cstheme="minorHAnsi"/>
                <w:b/>
                <w:bCs/>
                <w:color w:val="000000" w:themeColor="text1"/>
                <w:sz w:val="24"/>
                <w:szCs w:val="24"/>
              </w:rPr>
              <w:t>Správce dokumentu</w:t>
            </w:r>
          </w:p>
        </w:tc>
        <w:tc>
          <w:tcPr>
            <w:tcW w:w="3402" w:type="dxa"/>
          </w:tcPr>
          <w:p w14:paraId="7F92A4FA" w14:textId="4042E13F" w:rsidR="00C06D59" w:rsidRPr="007D6F4F" w:rsidRDefault="009026BC" w:rsidP="00742E69">
            <w:pPr>
              <w:rPr>
                <w:rFonts w:cstheme="minorHAnsi"/>
                <w:i/>
                <w:iCs/>
                <w:color w:val="000000" w:themeColor="text1"/>
                <w:sz w:val="24"/>
                <w:szCs w:val="24"/>
              </w:rPr>
            </w:pPr>
            <w:r>
              <w:rPr>
                <w:rFonts w:cstheme="minorHAnsi"/>
                <w:i/>
                <w:iCs/>
                <w:color w:val="000000" w:themeColor="text1"/>
                <w:sz w:val="24"/>
                <w:szCs w:val="24"/>
              </w:rPr>
              <w:t>HR Business Partner</w:t>
            </w:r>
            <w:r w:rsidR="00F72A72">
              <w:rPr>
                <w:rFonts w:cstheme="minorHAnsi"/>
                <w:i/>
                <w:iCs/>
                <w:color w:val="000000" w:themeColor="text1"/>
                <w:sz w:val="24"/>
                <w:szCs w:val="24"/>
              </w:rPr>
              <w:t xml:space="preserve"> Junior</w:t>
            </w:r>
          </w:p>
        </w:tc>
      </w:tr>
    </w:tbl>
    <w:p w14:paraId="45875E92" w14:textId="5D8C28FA" w:rsidR="00C06D59" w:rsidRPr="00B33FE7" w:rsidRDefault="00C06D59" w:rsidP="00742E69">
      <w:pPr>
        <w:rPr>
          <w:rFonts w:cstheme="minorHAnsi"/>
          <w:b/>
          <w:bCs/>
          <w:color w:val="000000" w:themeColor="text1"/>
          <w:sz w:val="24"/>
          <w:szCs w:val="24"/>
        </w:rPr>
      </w:pPr>
    </w:p>
    <w:p w14:paraId="6E3B5A78" w14:textId="760AB151" w:rsidR="00D33552" w:rsidRDefault="00D33552" w:rsidP="00742E69">
      <w:pPr>
        <w:rPr>
          <w:rFonts w:ascii="Times New Roman" w:hAnsi="Times New Roman" w:cs="Times New Roman"/>
          <w:b/>
          <w:bCs/>
          <w:color w:val="000000" w:themeColor="text1"/>
          <w:sz w:val="24"/>
          <w:szCs w:val="24"/>
        </w:rPr>
      </w:pPr>
    </w:p>
    <w:sdt>
      <w:sdtPr>
        <w:rPr>
          <w:rFonts w:asciiTheme="minorHAnsi" w:eastAsiaTheme="minorHAnsi" w:hAnsiTheme="minorHAnsi" w:cstheme="minorBidi"/>
          <w:color w:val="auto"/>
          <w:sz w:val="22"/>
          <w:szCs w:val="22"/>
          <w:lang w:eastAsia="en-US"/>
        </w:rPr>
        <w:id w:val="1712925293"/>
        <w:docPartObj>
          <w:docPartGallery w:val="Table of Contents"/>
          <w:docPartUnique/>
        </w:docPartObj>
      </w:sdtPr>
      <w:sdtEndPr>
        <w:rPr>
          <w:b/>
          <w:bCs/>
        </w:rPr>
      </w:sdtEndPr>
      <w:sdtContent>
        <w:p w14:paraId="5A15F2D6" w14:textId="3CF5E442" w:rsidR="00F1047D" w:rsidRDefault="00F1047D">
          <w:pPr>
            <w:pStyle w:val="Nadpisobsahu"/>
          </w:pPr>
          <w:r>
            <w:t>Obsah</w:t>
          </w:r>
        </w:p>
        <w:p w14:paraId="3E3B4695" w14:textId="6BF71CA6" w:rsidR="00216EB7" w:rsidRDefault="00F1047D">
          <w:pPr>
            <w:pStyle w:val="Obsah1"/>
            <w:tabs>
              <w:tab w:val="left" w:pos="440"/>
              <w:tab w:val="right" w:leader="dot" w:pos="9062"/>
            </w:tabs>
            <w:rPr>
              <w:rFonts w:eastAsiaTheme="minorEastAsia" w:cstheme="minorBidi"/>
              <w:b w:val="0"/>
              <w:bCs w:val="0"/>
              <w:caps w:val="0"/>
              <w:noProof/>
              <w:kern w:val="2"/>
              <w:sz w:val="24"/>
              <w:szCs w:val="24"/>
              <w:lang w:eastAsia="cs-CZ"/>
              <w14:ligatures w14:val="standardContextual"/>
            </w:rPr>
          </w:pPr>
          <w:r>
            <w:fldChar w:fldCharType="begin"/>
          </w:r>
          <w:r>
            <w:instrText xml:space="preserve"> TOC \o "1-3" \h \z \u </w:instrText>
          </w:r>
          <w:r>
            <w:fldChar w:fldCharType="separate"/>
          </w:r>
          <w:hyperlink w:anchor="_Toc208320390" w:history="1">
            <w:r w:rsidR="00216EB7" w:rsidRPr="00B716CA">
              <w:rPr>
                <w:rStyle w:val="Hypertextovodkaz"/>
                <w:noProof/>
              </w:rPr>
              <w:t>1.</w:t>
            </w:r>
            <w:r w:rsidR="00216EB7">
              <w:rPr>
                <w:rFonts w:eastAsiaTheme="minorEastAsia" w:cstheme="minorBidi"/>
                <w:b w:val="0"/>
                <w:bCs w:val="0"/>
                <w:caps w:val="0"/>
                <w:noProof/>
                <w:kern w:val="2"/>
                <w:sz w:val="24"/>
                <w:szCs w:val="24"/>
                <w:lang w:eastAsia="cs-CZ"/>
                <w14:ligatures w14:val="standardContextual"/>
              </w:rPr>
              <w:tab/>
            </w:r>
            <w:r w:rsidR="00216EB7" w:rsidRPr="00B716CA">
              <w:rPr>
                <w:rStyle w:val="Hypertextovodkaz"/>
                <w:noProof/>
              </w:rPr>
              <w:t>Účel a předmět předpisů</w:t>
            </w:r>
            <w:r w:rsidR="00216EB7">
              <w:rPr>
                <w:noProof/>
                <w:webHidden/>
              </w:rPr>
              <w:tab/>
            </w:r>
            <w:r w:rsidR="00216EB7">
              <w:rPr>
                <w:noProof/>
                <w:webHidden/>
              </w:rPr>
              <w:fldChar w:fldCharType="begin"/>
            </w:r>
            <w:r w:rsidR="00216EB7">
              <w:rPr>
                <w:noProof/>
                <w:webHidden/>
              </w:rPr>
              <w:instrText xml:space="preserve"> PAGEREF _Toc208320390 \h </w:instrText>
            </w:r>
            <w:r w:rsidR="00216EB7">
              <w:rPr>
                <w:noProof/>
                <w:webHidden/>
              </w:rPr>
            </w:r>
            <w:r w:rsidR="00216EB7">
              <w:rPr>
                <w:noProof/>
                <w:webHidden/>
              </w:rPr>
              <w:fldChar w:fldCharType="separate"/>
            </w:r>
            <w:r w:rsidR="0075129B">
              <w:rPr>
                <w:noProof/>
                <w:webHidden/>
              </w:rPr>
              <w:t>2</w:t>
            </w:r>
            <w:r w:rsidR="00216EB7">
              <w:rPr>
                <w:noProof/>
                <w:webHidden/>
              </w:rPr>
              <w:fldChar w:fldCharType="end"/>
            </w:r>
          </w:hyperlink>
        </w:p>
        <w:p w14:paraId="1AE838AF" w14:textId="11558E04" w:rsidR="00216EB7" w:rsidRPr="00216EB7" w:rsidRDefault="00216EB7" w:rsidP="00216EB7">
          <w:pPr>
            <w:pStyle w:val="Obsah1"/>
            <w:tabs>
              <w:tab w:val="left" w:pos="440"/>
              <w:tab w:val="right" w:leader="dot" w:pos="9062"/>
            </w:tabs>
            <w:rPr>
              <w:rFonts w:eastAsiaTheme="minorEastAsia" w:cstheme="minorBidi"/>
              <w:b w:val="0"/>
              <w:bCs w:val="0"/>
              <w:caps w:val="0"/>
              <w:noProof/>
              <w:kern w:val="2"/>
              <w:sz w:val="24"/>
              <w:szCs w:val="24"/>
              <w:lang w:eastAsia="cs-CZ"/>
              <w14:ligatures w14:val="standardContextual"/>
            </w:rPr>
          </w:pPr>
          <w:hyperlink w:anchor="_Toc208320392" w:history="1">
            <w:r w:rsidRPr="00B716CA">
              <w:rPr>
                <w:rStyle w:val="Hypertextovodkaz"/>
                <w:noProof/>
              </w:rPr>
              <w:t>2.</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definice</w:t>
            </w:r>
            <w:r>
              <w:rPr>
                <w:noProof/>
                <w:webHidden/>
              </w:rPr>
              <w:tab/>
            </w:r>
            <w:r>
              <w:rPr>
                <w:noProof/>
                <w:webHidden/>
              </w:rPr>
              <w:fldChar w:fldCharType="begin"/>
            </w:r>
            <w:r>
              <w:rPr>
                <w:noProof/>
                <w:webHidden/>
              </w:rPr>
              <w:instrText xml:space="preserve"> PAGEREF _Toc208320392 \h </w:instrText>
            </w:r>
            <w:r>
              <w:rPr>
                <w:noProof/>
                <w:webHidden/>
              </w:rPr>
            </w:r>
            <w:r>
              <w:rPr>
                <w:noProof/>
                <w:webHidden/>
              </w:rPr>
              <w:fldChar w:fldCharType="separate"/>
            </w:r>
            <w:r w:rsidR="0075129B">
              <w:rPr>
                <w:noProof/>
                <w:webHidden/>
              </w:rPr>
              <w:t>2</w:t>
            </w:r>
            <w:r>
              <w:rPr>
                <w:noProof/>
                <w:webHidden/>
              </w:rPr>
              <w:fldChar w:fldCharType="end"/>
            </w:r>
          </w:hyperlink>
        </w:p>
        <w:p w14:paraId="2368D25D" w14:textId="407CC45A" w:rsidR="00216EB7" w:rsidRPr="00216EB7" w:rsidRDefault="00216EB7" w:rsidP="00216EB7">
          <w:pPr>
            <w:pStyle w:val="Obsah1"/>
            <w:tabs>
              <w:tab w:val="left" w:pos="440"/>
              <w:tab w:val="right" w:leader="dot" w:pos="9062"/>
            </w:tabs>
            <w:rPr>
              <w:rFonts w:eastAsiaTheme="minorEastAsia" w:cstheme="minorBidi"/>
              <w:b w:val="0"/>
              <w:bCs w:val="0"/>
              <w:caps w:val="0"/>
              <w:noProof/>
              <w:kern w:val="2"/>
              <w:sz w:val="24"/>
              <w:szCs w:val="24"/>
              <w:lang w:eastAsia="cs-CZ"/>
              <w14:ligatures w14:val="standardContextual"/>
            </w:rPr>
          </w:pPr>
          <w:hyperlink w:anchor="_Toc208320403" w:history="1">
            <w:r w:rsidRPr="00B716CA">
              <w:rPr>
                <w:rStyle w:val="Hypertextovodkaz"/>
                <w:noProof/>
              </w:rPr>
              <w:t>3.</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Jak OZNAMOVAT porušení práva?</w:t>
            </w:r>
            <w:r>
              <w:rPr>
                <w:noProof/>
                <w:webHidden/>
              </w:rPr>
              <w:tab/>
            </w:r>
            <w:r>
              <w:rPr>
                <w:noProof/>
                <w:webHidden/>
              </w:rPr>
              <w:fldChar w:fldCharType="begin"/>
            </w:r>
            <w:r>
              <w:rPr>
                <w:noProof/>
                <w:webHidden/>
              </w:rPr>
              <w:instrText xml:space="preserve"> PAGEREF _Toc208320403 \h </w:instrText>
            </w:r>
            <w:r>
              <w:rPr>
                <w:noProof/>
                <w:webHidden/>
              </w:rPr>
            </w:r>
            <w:r>
              <w:rPr>
                <w:noProof/>
                <w:webHidden/>
              </w:rPr>
              <w:fldChar w:fldCharType="separate"/>
            </w:r>
            <w:r w:rsidR="0075129B">
              <w:rPr>
                <w:noProof/>
                <w:webHidden/>
              </w:rPr>
              <w:t>4</w:t>
            </w:r>
            <w:r>
              <w:rPr>
                <w:noProof/>
                <w:webHidden/>
              </w:rPr>
              <w:fldChar w:fldCharType="end"/>
            </w:r>
          </w:hyperlink>
        </w:p>
        <w:p w14:paraId="075AEC5E" w14:textId="0BC6493D" w:rsidR="00216EB7" w:rsidRDefault="00216EB7">
          <w:pPr>
            <w:pStyle w:val="Obsah1"/>
            <w:tabs>
              <w:tab w:val="left" w:pos="440"/>
              <w:tab w:val="right" w:leader="dot" w:pos="9062"/>
            </w:tabs>
            <w:rPr>
              <w:rFonts w:eastAsiaTheme="minorEastAsia" w:cstheme="minorBidi"/>
              <w:b w:val="0"/>
              <w:bCs w:val="0"/>
              <w:caps w:val="0"/>
              <w:noProof/>
              <w:kern w:val="2"/>
              <w:sz w:val="24"/>
              <w:szCs w:val="24"/>
              <w:lang w:eastAsia="cs-CZ"/>
              <w14:ligatures w14:val="standardContextual"/>
            </w:rPr>
          </w:pPr>
          <w:hyperlink w:anchor="_Toc208320406" w:history="1">
            <w:r w:rsidRPr="00B716CA">
              <w:rPr>
                <w:rStyle w:val="Hypertextovodkaz"/>
                <w:noProof/>
              </w:rPr>
              <w:t>4.</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Co by mělo OZNÁMENÍ obsahovat?</w:t>
            </w:r>
            <w:r>
              <w:rPr>
                <w:noProof/>
                <w:webHidden/>
              </w:rPr>
              <w:tab/>
            </w:r>
            <w:r>
              <w:rPr>
                <w:noProof/>
                <w:webHidden/>
              </w:rPr>
              <w:fldChar w:fldCharType="begin"/>
            </w:r>
            <w:r>
              <w:rPr>
                <w:noProof/>
                <w:webHidden/>
              </w:rPr>
              <w:instrText xml:space="preserve"> PAGEREF _Toc208320406 \h </w:instrText>
            </w:r>
            <w:r>
              <w:rPr>
                <w:noProof/>
                <w:webHidden/>
              </w:rPr>
            </w:r>
            <w:r>
              <w:rPr>
                <w:noProof/>
                <w:webHidden/>
              </w:rPr>
              <w:fldChar w:fldCharType="separate"/>
            </w:r>
            <w:r w:rsidR="0075129B">
              <w:rPr>
                <w:noProof/>
                <w:webHidden/>
              </w:rPr>
              <w:t>5</w:t>
            </w:r>
            <w:r>
              <w:rPr>
                <w:noProof/>
                <w:webHidden/>
              </w:rPr>
              <w:fldChar w:fldCharType="end"/>
            </w:r>
          </w:hyperlink>
        </w:p>
        <w:p w14:paraId="795BDEF7" w14:textId="5AF01B7C" w:rsidR="00216EB7" w:rsidRPr="00216EB7" w:rsidRDefault="00216EB7" w:rsidP="00216EB7">
          <w:pPr>
            <w:pStyle w:val="Obsah1"/>
            <w:tabs>
              <w:tab w:val="left" w:pos="440"/>
              <w:tab w:val="right" w:leader="dot" w:pos="9062"/>
            </w:tabs>
            <w:rPr>
              <w:rFonts w:eastAsiaTheme="minorEastAsia" w:cstheme="minorBidi"/>
              <w:b w:val="0"/>
              <w:bCs w:val="0"/>
              <w:caps w:val="0"/>
              <w:noProof/>
              <w:kern w:val="2"/>
              <w:sz w:val="24"/>
              <w:szCs w:val="24"/>
              <w:lang w:eastAsia="cs-CZ"/>
              <w14:ligatures w14:val="standardContextual"/>
            </w:rPr>
          </w:pPr>
          <w:hyperlink w:anchor="_Toc208320407" w:history="1">
            <w:r w:rsidRPr="00B716CA">
              <w:rPr>
                <w:rStyle w:val="Hypertextovodkaz"/>
                <w:rFonts w:eastAsia="Arial"/>
                <w:noProof/>
              </w:rPr>
              <w:t>5.</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Co když zašlu OZNÁMENÍ anonymně?</w:t>
            </w:r>
            <w:r>
              <w:rPr>
                <w:noProof/>
                <w:webHidden/>
              </w:rPr>
              <w:tab/>
            </w:r>
            <w:r>
              <w:rPr>
                <w:noProof/>
                <w:webHidden/>
              </w:rPr>
              <w:fldChar w:fldCharType="begin"/>
            </w:r>
            <w:r>
              <w:rPr>
                <w:noProof/>
                <w:webHidden/>
              </w:rPr>
              <w:instrText xml:space="preserve"> PAGEREF _Toc208320407 \h </w:instrText>
            </w:r>
            <w:r>
              <w:rPr>
                <w:noProof/>
                <w:webHidden/>
              </w:rPr>
            </w:r>
            <w:r>
              <w:rPr>
                <w:noProof/>
                <w:webHidden/>
              </w:rPr>
              <w:fldChar w:fldCharType="separate"/>
            </w:r>
            <w:r w:rsidR="0075129B">
              <w:rPr>
                <w:noProof/>
                <w:webHidden/>
              </w:rPr>
              <w:t>5</w:t>
            </w:r>
            <w:r>
              <w:rPr>
                <w:noProof/>
                <w:webHidden/>
              </w:rPr>
              <w:fldChar w:fldCharType="end"/>
            </w:r>
          </w:hyperlink>
        </w:p>
        <w:p w14:paraId="5485AD27" w14:textId="44DDC29F" w:rsidR="00216EB7" w:rsidRDefault="00216EB7">
          <w:pPr>
            <w:pStyle w:val="Obsah1"/>
            <w:tabs>
              <w:tab w:val="left" w:pos="440"/>
              <w:tab w:val="right" w:leader="dot" w:pos="9062"/>
            </w:tabs>
            <w:rPr>
              <w:rFonts w:eastAsiaTheme="minorEastAsia" w:cstheme="minorBidi"/>
              <w:b w:val="0"/>
              <w:bCs w:val="0"/>
              <w:caps w:val="0"/>
              <w:noProof/>
              <w:kern w:val="2"/>
              <w:sz w:val="24"/>
              <w:szCs w:val="24"/>
              <w:lang w:eastAsia="cs-CZ"/>
              <w14:ligatures w14:val="standardContextual"/>
            </w:rPr>
          </w:pPr>
          <w:hyperlink w:anchor="_Toc208320411" w:history="1">
            <w:r w:rsidRPr="00B716CA">
              <w:rPr>
                <w:rStyle w:val="Hypertextovodkaz"/>
                <w:rFonts w:eastAsia="Arial"/>
                <w:noProof/>
              </w:rPr>
              <w:t>6.</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Mám nějaké odpovědnosti po podání oznámení?</w:t>
            </w:r>
            <w:r>
              <w:rPr>
                <w:noProof/>
                <w:webHidden/>
              </w:rPr>
              <w:tab/>
            </w:r>
            <w:r>
              <w:rPr>
                <w:noProof/>
                <w:webHidden/>
              </w:rPr>
              <w:fldChar w:fldCharType="begin"/>
            </w:r>
            <w:r>
              <w:rPr>
                <w:noProof/>
                <w:webHidden/>
              </w:rPr>
              <w:instrText xml:space="preserve"> PAGEREF _Toc208320411 \h </w:instrText>
            </w:r>
            <w:r>
              <w:rPr>
                <w:noProof/>
                <w:webHidden/>
              </w:rPr>
            </w:r>
            <w:r>
              <w:rPr>
                <w:noProof/>
                <w:webHidden/>
              </w:rPr>
              <w:fldChar w:fldCharType="separate"/>
            </w:r>
            <w:r w:rsidR="0075129B">
              <w:rPr>
                <w:noProof/>
                <w:webHidden/>
              </w:rPr>
              <w:t>6</w:t>
            </w:r>
            <w:r>
              <w:rPr>
                <w:noProof/>
                <w:webHidden/>
              </w:rPr>
              <w:fldChar w:fldCharType="end"/>
            </w:r>
          </w:hyperlink>
        </w:p>
        <w:p w14:paraId="2750A216" w14:textId="62B08801" w:rsidR="00216EB7" w:rsidRDefault="00216EB7">
          <w:pPr>
            <w:pStyle w:val="Obsah1"/>
            <w:tabs>
              <w:tab w:val="left" w:pos="440"/>
              <w:tab w:val="right" w:leader="dot" w:pos="9062"/>
            </w:tabs>
            <w:rPr>
              <w:rFonts w:eastAsiaTheme="minorEastAsia" w:cstheme="minorBidi"/>
              <w:b w:val="0"/>
              <w:bCs w:val="0"/>
              <w:caps w:val="0"/>
              <w:noProof/>
              <w:kern w:val="2"/>
              <w:sz w:val="24"/>
              <w:szCs w:val="24"/>
              <w:lang w:eastAsia="cs-CZ"/>
              <w14:ligatures w14:val="standardContextual"/>
            </w:rPr>
          </w:pPr>
          <w:hyperlink w:anchor="_Toc208320412" w:history="1">
            <w:r w:rsidRPr="00B716CA">
              <w:rPr>
                <w:rStyle w:val="Hypertextovodkaz"/>
                <w:noProof/>
              </w:rPr>
              <w:t>7.</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Jak je oznamovatel chráněn?</w:t>
            </w:r>
            <w:r>
              <w:rPr>
                <w:noProof/>
                <w:webHidden/>
              </w:rPr>
              <w:tab/>
            </w:r>
            <w:r>
              <w:rPr>
                <w:noProof/>
                <w:webHidden/>
              </w:rPr>
              <w:fldChar w:fldCharType="begin"/>
            </w:r>
            <w:r>
              <w:rPr>
                <w:noProof/>
                <w:webHidden/>
              </w:rPr>
              <w:instrText xml:space="preserve"> PAGEREF _Toc208320412 \h </w:instrText>
            </w:r>
            <w:r>
              <w:rPr>
                <w:noProof/>
                <w:webHidden/>
              </w:rPr>
            </w:r>
            <w:r>
              <w:rPr>
                <w:noProof/>
                <w:webHidden/>
              </w:rPr>
              <w:fldChar w:fldCharType="separate"/>
            </w:r>
            <w:r w:rsidR="0075129B">
              <w:rPr>
                <w:noProof/>
                <w:webHidden/>
              </w:rPr>
              <w:t>6</w:t>
            </w:r>
            <w:r>
              <w:rPr>
                <w:noProof/>
                <w:webHidden/>
              </w:rPr>
              <w:fldChar w:fldCharType="end"/>
            </w:r>
          </w:hyperlink>
        </w:p>
        <w:p w14:paraId="05BB334C" w14:textId="0A26D88C" w:rsidR="00216EB7" w:rsidRPr="00216EB7" w:rsidRDefault="00216EB7" w:rsidP="00216EB7">
          <w:pPr>
            <w:pStyle w:val="Obsah1"/>
            <w:tabs>
              <w:tab w:val="left" w:pos="440"/>
              <w:tab w:val="right" w:leader="dot" w:pos="9062"/>
            </w:tabs>
            <w:rPr>
              <w:rFonts w:eastAsiaTheme="minorEastAsia" w:cstheme="minorBidi"/>
              <w:b w:val="0"/>
              <w:bCs w:val="0"/>
              <w:caps w:val="0"/>
              <w:noProof/>
              <w:kern w:val="2"/>
              <w:sz w:val="24"/>
              <w:szCs w:val="24"/>
              <w:lang w:eastAsia="cs-CZ"/>
              <w14:ligatures w14:val="standardContextual"/>
            </w:rPr>
          </w:pPr>
          <w:hyperlink w:anchor="_Toc208320418" w:history="1">
            <w:r w:rsidRPr="00B716CA">
              <w:rPr>
                <w:rStyle w:val="Hypertextovodkaz"/>
                <w:noProof/>
              </w:rPr>
              <w:t>8.</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Jak se oznámení zpracuje?</w:t>
            </w:r>
            <w:r>
              <w:rPr>
                <w:noProof/>
                <w:webHidden/>
              </w:rPr>
              <w:tab/>
            </w:r>
            <w:r>
              <w:rPr>
                <w:noProof/>
                <w:webHidden/>
              </w:rPr>
              <w:fldChar w:fldCharType="begin"/>
            </w:r>
            <w:r>
              <w:rPr>
                <w:noProof/>
                <w:webHidden/>
              </w:rPr>
              <w:instrText xml:space="preserve"> PAGEREF _Toc208320418 \h </w:instrText>
            </w:r>
            <w:r>
              <w:rPr>
                <w:noProof/>
                <w:webHidden/>
              </w:rPr>
            </w:r>
            <w:r>
              <w:rPr>
                <w:noProof/>
                <w:webHidden/>
              </w:rPr>
              <w:fldChar w:fldCharType="separate"/>
            </w:r>
            <w:r w:rsidR="0075129B">
              <w:rPr>
                <w:noProof/>
                <w:webHidden/>
              </w:rPr>
              <w:t>7</w:t>
            </w:r>
            <w:r>
              <w:rPr>
                <w:noProof/>
                <w:webHidden/>
              </w:rPr>
              <w:fldChar w:fldCharType="end"/>
            </w:r>
          </w:hyperlink>
        </w:p>
        <w:p w14:paraId="79AB93E4" w14:textId="085A0EEA" w:rsidR="00216EB7" w:rsidRDefault="00216EB7">
          <w:pPr>
            <w:pStyle w:val="Obsah1"/>
            <w:tabs>
              <w:tab w:val="left" w:pos="440"/>
              <w:tab w:val="right" w:leader="dot" w:pos="9062"/>
            </w:tabs>
            <w:rPr>
              <w:rFonts w:eastAsiaTheme="minorEastAsia" w:cstheme="minorBidi"/>
              <w:b w:val="0"/>
              <w:bCs w:val="0"/>
              <w:caps w:val="0"/>
              <w:noProof/>
              <w:kern w:val="2"/>
              <w:sz w:val="24"/>
              <w:szCs w:val="24"/>
              <w:lang w:eastAsia="cs-CZ"/>
              <w14:ligatures w14:val="standardContextual"/>
            </w:rPr>
          </w:pPr>
          <w:hyperlink w:anchor="_Toc208320422" w:history="1">
            <w:r w:rsidRPr="00B716CA">
              <w:rPr>
                <w:rStyle w:val="Hypertextovodkaz"/>
                <w:noProof/>
              </w:rPr>
              <w:t>9.</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Jaká zpětná vazba je poskytnuta oznamovateli?</w:t>
            </w:r>
            <w:r>
              <w:rPr>
                <w:noProof/>
                <w:webHidden/>
              </w:rPr>
              <w:tab/>
            </w:r>
            <w:r>
              <w:rPr>
                <w:noProof/>
                <w:webHidden/>
              </w:rPr>
              <w:fldChar w:fldCharType="begin"/>
            </w:r>
            <w:r>
              <w:rPr>
                <w:noProof/>
                <w:webHidden/>
              </w:rPr>
              <w:instrText xml:space="preserve"> PAGEREF _Toc208320422 \h </w:instrText>
            </w:r>
            <w:r>
              <w:rPr>
                <w:noProof/>
                <w:webHidden/>
              </w:rPr>
            </w:r>
            <w:r>
              <w:rPr>
                <w:noProof/>
                <w:webHidden/>
              </w:rPr>
              <w:fldChar w:fldCharType="separate"/>
            </w:r>
            <w:r w:rsidR="0075129B">
              <w:rPr>
                <w:noProof/>
                <w:webHidden/>
              </w:rPr>
              <w:t>8</w:t>
            </w:r>
            <w:r>
              <w:rPr>
                <w:noProof/>
                <w:webHidden/>
              </w:rPr>
              <w:fldChar w:fldCharType="end"/>
            </w:r>
          </w:hyperlink>
        </w:p>
        <w:p w14:paraId="0C45977C" w14:textId="4771BF27" w:rsidR="00216EB7" w:rsidRPr="00216EB7" w:rsidRDefault="00216EB7" w:rsidP="00216EB7">
          <w:pPr>
            <w:pStyle w:val="Obsah1"/>
            <w:tabs>
              <w:tab w:val="left" w:pos="660"/>
              <w:tab w:val="right" w:leader="dot" w:pos="9062"/>
            </w:tabs>
            <w:rPr>
              <w:rFonts w:eastAsiaTheme="minorEastAsia" w:cstheme="minorBidi"/>
              <w:b w:val="0"/>
              <w:bCs w:val="0"/>
              <w:caps w:val="0"/>
              <w:noProof/>
              <w:kern w:val="2"/>
              <w:sz w:val="24"/>
              <w:szCs w:val="24"/>
              <w:lang w:eastAsia="cs-CZ"/>
              <w14:ligatures w14:val="standardContextual"/>
            </w:rPr>
          </w:pPr>
          <w:hyperlink w:anchor="_Toc208320423" w:history="1">
            <w:r w:rsidRPr="00B716CA">
              <w:rPr>
                <w:rStyle w:val="Hypertextovodkaz"/>
                <w:noProof/>
              </w:rPr>
              <w:t>10.</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Jaký je postup vyšetřování a řešení záležitosti?</w:t>
            </w:r>
            <w:r>
              <w:rPr>
                <w:noProof/>
                <w:webHidden/>
              </w:rPr>
              <w:tab/>
            </w:r>
            <w:r>
              <w:rPr>
                <w:noProof/>
                <w:webHidden/>
              </w:rPr>
              <w:fldChar w:fldCharType="begin"/>
            </w:r>
            <w:r>
              <w:rPr>
                <w:noProof/>
                <w:webHidden/>
              </w:rPr>
              <w:instrText xml:space="preserve"> PAGEREF _Toc208320423 \h </w:instrText>
            </w:r>
            <w:r>
              <w:rPr>
                <w:noProof/>
                <w:webHidden/>
              </w:rPr>
            </w:r>
            <w:r>
              <w:rPr>
                <w:noProof/>
                <w:webHidden/>
              </w:rPr>
              <w:fldChar w:fldCharType="separate"/>
            </w:r>
            <w:r w:rsidR="0075129B">
              <w:rPr>
                <w:noProof/>
                <w:webHidden/>
              </w:rPr>
              <w:t>8</w:t>
            </w:r>
            <w:r>
              <w:rPr>
                <w:noProof/>
                <w:webHidden/>
              </w:rPr>
              <w:fldChar w:fldCharType="end"/>
            </w:r>
          </w:hyperlink>
        </w:p>
        <w:p w14:paraId="64D12C10" w14:textId="5E1C05B5" w:rsidR="00216EB7" w:rsidRDefault="00216EB7">
          <w:pPr>
            <w:pStyle w:val="Obsah1"/>
            <w:tabs>
              <w:tab w:val="left" w:pos="660"/>
              <w:tab w:val="right" w:leader="dot" w:pos="9062"/>
            </w:tabs>
            <w:rPr>
              <w:rFonts w:eastAsiaTheme="minorEastAsia" w:cstheme="minorBidi"/>
              <w:b w:val="0"/>
              <w:bCs w:val="0"/>
              <w:caps w:val="0"/>
              <w:noProof/>
              <w:kern w:val="2"/>
              <w:sz w:val="24"/>
              <w:szCs w:val="24"/>
              <w:lang w:eastAsia="cs-CZ"/>
              <w14:ligatures w14:val="standardContextual"/>
            </w:rPr>
          </w:pPr>
          <w:hyperlink w:anchor="_Toc208320430" w:history="1">
            <w:r w:rsidRPr="00B716CA">
              <w:rPr>
                <w:rStyle w:val="Hypertextovodkaz"/>
                <w:noProof/>
              </w:rPr>
              <w:t>11.</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Údržba registru oznámení</w:t>
            </w:r>
            <w:r>
              <w:rPr>
                <w:noProof/>
                <w:webHidden/>
              </w:rPr>
              <w:tab/>
            </w:r>
            <w:r>
              <w:rPr>
                <w:noProof/>
                <w:webHidden/>
              </w:rPr>
              <w:fldChar w:fldCharType="begin"/>
            </w:r>
            <w:r>
              <w:rPr>
                <w:noProof/>
                <w:webHidden/>
              </w:rPr>
              <w:instrText xml:space="preserve"> PAGEREF _Toc208320430 \h </w:instrText>
            </w:r>
            <w:r>
              <w:rPr>
                <w:noProof/>
                <w:webHidden/>
              </w:rPr>
            </w:r>
            <w:r>
              <w:rPr>
                <w:noProof/>
                <w:webHidden/>
              </w:rPr>
              <w:fldChar w:fldCharType="separate"/>
            </w:r>
            <w:r w:rsidR="0075129B">
              <w:rPr>
                <w:noProof/>
                <w:webHidden/>
              </w:rPr>
              <w:t>10</w:t>
            </w:r>
            <w:r>
              <w:rPr>
                <w:noProof/>
                <w:webHidden/>
              </w:rPr>
              <w:fldChar w:fldCharType="end"/>
            </w:r>
          </w:hyperlink>
        </w:p>
        <w:p w14:paraId="47944E9C" w14:textId="6DE9FBF5" w:rsidR="00216EB7" w:rsidRDefault="00216EB7">
          <w:pPr>
            <w:pStyle w:val="Obsah1"/>
            <w:tabs>
              <w:tab w:val="left" w:pos="660"/>
              <w:tab w:val="right" w:leader="dot" w:pos="9062"/>
            </w:tabs>
            <w:rPr>
              <w:rFonts w:eastAsiaTheme="minorEastAsia" w:cstheme="minorBidi"/>
              <w:b w:val="0"/>
              <w:bCs w:val="0"/>
              <w:caps w:val="0"/>
              <w:noProof/>
              <w:kern w:val="2"/>
              <w:sz w:val="24"/>
              <w:szCs w:val="24"/>
              <w:lang w:eastAsia="cs-CZ"/>
              <w14:ligatures w14:val="standardContextual"/>
            </w:rPr>
          </w:pPr>
          <w:hyperlink w:anchor="_Toc208320431" w:history="1">
            <w:r w:rsidRPr="00B716CA">
              <w:rPr>
                <w:rStyle w:val="Hypertextovodkaz"/>
                <w:noProof/>
              </w:rPr>
              <w:t>12.</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pravidelné hlášení stavu oznamovatelského systému</w:t>
            </w:r>
            <w:r>
              <w:rPr>
                <w:noProof/>
                <w:webHidden/>
              </w:rPr>
              <w:tab/>
            </w:r>
            <w:r>
              <w:rPr>
                <w:noProof/>
                <w:webHidden/>
              </w:rPr>
              <w:fldChar w:fldCharType="begin"/>
            </w:r>
            <w:r>
              <w:rPr>
                <w:noProof/>
                <w:webHidden/>
              </w:rPr>
              <w:instrText xml:space="preserve"> PAGEREF _Toc208320431 \h </w:instrText>
            </w:r>
            <w:r>
              <w:rPr>
                <w:noProof/>
                <w:webHidden/>
              </w:rPr>
            </w:r>
            <w:r>
              <w:rPr>
                <w:noProof/>
                <w:webHidden/>
              </w:rPr>
              <w:fldChar w:fldCharType="separate"/>
            </w:r>
            <w:r w:rsidR="0075129B">
              <w:rPr>
                <w:noProof/>
                <w:webHidden/>
              </w:rPr>
              <w:t>10</w:t>
            </w:r>
            <w:r>
              <w:rPr>
                <w:noProof/>
                <w:webHidden/>
              </w:rPr>
              <w:fldChar w:fldCharType="end"/>
            </w:r>
          </w:hyperlink>
        </w:p>
        <w:p w14:paraId="1F98869F" w14:textId="4C75AB4F" w:rsidR="00216EB7" w:rsidRDefault="00216EB7">
          <w:pPr>
            <w:pStyle w:val="Obsah1"/>
            <w:tabs>
              <w:tab w:val="left" w:pos="660"/>
              <w:tab w:val="right" w:leader="dot" w:pos="9062"/>
            </w:tabs>
            <w:rPr>
              <w:rFonts w:eastAsiaTheme="minorEastAsia" w:cstheme="minorBidi"/>
              <w:b w:val="0"/>
              <w:bCs w:val="0"/>
              <w:caps w:val="0"/>
              <w:noProof/>
              <w:kern w:val="2"/>
              <w:sz w:val="24"/>
              <w:szCs w:val="24"/>
              <w:lang w:eastAsia="cs-CZ"/>
              <w14:ligatures w14:val="standardContextual"/>
            </w:rPr>
          </w:pPr>
          <w:hyperlink w:anchor="_Toc208320432" w:history="1">
            <w:r w:rsidRPr="00B716CA">
              <w:rPr>
                <w:rStyle w:val="Hypertextovodkaz"/>
                <w:noProof/>
              </w:rPr>
              <w:t>13.</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Osobní údaje</w:t>
            </w:r>
            <w:r>
              <w:rPr>
                <w:noProof/>
                <w:webHidden/>
              </w:rPr>
              <w:tab/>
            </w:r>
            <w:r>
              <w:rPr>
                <w:noProof/>
                <w:webHidden/>
              </w:rPr>
              <w:fldChar w:fldCharType="begin"/>
            </w:r>
            <w:r>
              <w:rPr>
                <w:noProof/>
                <w:webHidden/>
              </w:rPr>
              <w:instrText xml:space="preserve"> PAGEREF _Toc208320432 \h </w:instrText>
            </w:r>
            <w:r>
              <w:rPr>
                <w:noProof/>
                <w:webHidden/>
              </w:rPr>
            </w:r>
            <w:r>
              <w:rPr>
                <w:noProof/>
                <w:webHidden/>
              </w:rPr>
              <w:fldChar w:fldCharType="separate"/>
            </w:r>
            <w:r w:rsidR="0075129B">
              <w:rPr>
                <w:noProof/>
                <w:webHidden/>
              </w:rPr>
              <w:t>10</w:t>
            </w:r>
            <w:r>
              <w:rPr>
                <w:noProof/>
                <w:webHidden/>
              </w:rPr>
              <w:fldChar w:fldCharType="end"/>
            </w:r>
          </w:hyperlink>
        </w:p>
        <w:p w14:paraId="39715455" w14:textId="0BB31D5F" w:rsidR="00216EB7" w:rsidRDefault="00216EB7">
          <w:pPr>
            <w:pStyle w:val="Obsah1"/>
            <w:tabs>
              <w:tab w:val="left" w:pos="660"/>
              <w:tab w:val="right" w:leader="dot" w:pos="9062"/>
            </w:tabs>
            <w:rPr>
              <w:rFonts w:eastAsiaTheme="minorEastAsia" w:cstheme="minorBidi"/>
              <w:b w:val="0"/>
              <w:bCs w:val="0"/>
              <w:caps w:val="0"/>
              <w:noProof/>
              <w:kern w:val="2"/>
              <w:sz w:val="24"/>
              <w:szCs w:val="24"/>
              <w:lang w:eastAsia="cs-CZ"/>
              <w14:ligatures w14:val="standardContextual"/>
            </w:rPr>
          </w:pPr>
          <w:hyperlink w:anchor="_Toc208320433" w:history="1">
            <w:r w:rsidRPr="00B716CA">
              <w:rPr>
                <w:rStyle w:val="Hypertextovodkaz"/>
                <w:noProof/>
              </w:rPr>
              <w:t>14.</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INTERNÍ OZNÁMENÍ</w:t>
            </w:r>
            <w:r>
              <w:rPr>
                <w:noProof/>
                <w:webHidden/>
              </w:rPr>
              <w:tab/>
            </w:r>
            <w:r>
              <w:rPr>
                <w:noProof/>
                <w:webHidden/>
              </w:rPr>
              <w:fldChar w:fldCharType="begin"/>
            </w:r>
            <w:r>
              <w:rPr>
                <w:noProof/>
                <w:webHidden/>
              </w:rPr>
              <w:instrText xml:space="preserve"> PAGEREF _Toc208320433 \h </w:instrText>
            </w:r>
            <w:r>
              <w:rPr>
                <w:noProof/>
                <w:webHidden/>
              </w:rPr>
            </w:r>
            <w:r>
              <w:rPr>
                <w:noProof/>
                <w:webHidden/>
              </w:rPr>
              <w:fldChar w:fldCharType="separate"/>
            </w:r>
            <w:r w:rsidR="0075129B">
              <w:rPr>
                <w:noProof/>
                <w:webHidden/>
              </w:rPr>
              <w:t>11</w:t>
            </w:r>
            <w:r>
              <w:rPr>
                <w:noProof/>
                <w:webHidden/>
              </w:rPr>
              <w:fldChar w:fldCharType="end"/>
            </w:r>
          </w:hyperlink>
        </w:p>
        <w:p w14:paraId="4BBD2129" w14:textId="68CC88FB" w:rsidR="00216EB7" w:rsidRDefault="00216EB7">
          <w:pPr>
            <w:pStyle w:val="Obsah1"/>
            <w:tabs>
              <w:tab w:val="left" w:pos="660"/>
              <w:tab w:val="right" w:leader="dot" w:pos="9062"/>
            </w:tabs>
            <w:rPr>
              <w:rFonts w:eastAsiaTheme="minorEastAsia" w:cstheme="minorBidi"/>
              <w:b w:val="0"/>
              <w:bCs w:val="0"/>
              <w:caps w:val="0"/>
              <w:noProof/>
              <w:kern w:val="2"/>
              <w:sz w:val="24"/>
              <w:szCs w:val="24"/>
              <w:lang w:eastAsia="cs-CZ"/>
              <w14:ligatures w14:val="standardContextual"/>
            </w:rPr>
          </w:pPr>
          <w:hyperlink w:anchor="_Toc208320434" w:history="1">
            <w:r w:rsidRPr="00B716CA">
              <w:rPr>
                <w:rStyle w:val="Hypertextovodkaz"/>
                <w:noProof/>
              </w:rPr>
              <w:t>15.</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ODPOVĚDNOST</w:t>
            </w:r>
            <w:r>
              <w:rPr>
                <w:noProof/>
                <w:webHidden/>
              </w:rPr>
              <w:tab/>
            </w:r>
            <w:r>
              <w:rPr>
                <w:noProof/>
                <w:webHidden/>
              </w:rPr>
              <w:fldChar w:fldCharType="begin"/>
            </w:r>
            <w:r>
              <w:rPr>
                <w:noProof/>
                <w:webHidden/>
              </w:rPr>
              <w:instrText xml:space="preserve"> PAGEREF _Toc208320434 \h </w:instrText>
            </w:r>
            <w:r>
              <w:rPr>
                <w:noProof/>
                <w:webHidden/>
              </w:rPr>
            </w:r>
            <w:r>
              <w:rPr>
                <w:noProof/>
                <w:webHidden/>
              </w:rPr>
              <w:fldChar w:fldCharType="separate"/>
            </w:r>
            <w:r w:rsidR="0075129B">
              <w:rPr>
                <w:noProof/>
                <w:webHidden/>
              </w:rPr>
              <w:t>12</w:t>
            </w:r>
            <w:r>
              <w:rPr>
                <w:noProof/>
                <w:webHidden/>
              </w:rPr>
              <w:fldChar w:fldCharType="end"/>
            </w:r>
          </w:hyperlink>
        </w:p>
        <w:p w14:paraId="31AE0B65" w14:textId="0E4DE59E" w:rsidR="00216EB7" w:rsidRDefault="00216EB7">
          <w:pPr>
            <w:pStyle w:val="Obsah1"/>
            <w:tabs>
              <w:tab w:val="left" w:pos="660"/>
              <w:tab w:val="right" w:leader="dot" w:pos="9062"/>
            </w:tabs>
            <w:rPr>
              <w:rFonts w:eastAsiaTheme="minorEastAsia" w:cstheme="minorBidi"/>
              <w:b w:val="0"/>
              <w:bCs w:val="0"/>
              <w:caps w:val="0"/>
              <w:noProof/>
              <w:kern w:val="2"/>
              <w:sz w:val="24"/>
              <w:szCs w:val="24"/>
              <w:lang w:eastAsia="cs-CZ"/>
              <w14:ligatures w14:val="standardContextual"/>
            </w:rPr>
          </w:pPr>
          <w:hyperlink w:anchor="_Toc208320435" w:history="1">
            <w:r w:rsidRPr="00B716CA">
              <w:rPr>
                <w:rStyle w:val="Hypertextovodkaz"/>
                <w:noProof/>
              </w:rPr>
              <w:t>16.</w:t>
            </w:r>
            <w:r>
              <w:rPr>
                <w:rFonts w:eastAsiaTheme="minorEastAsia" w:cstheme="minorBidi"/>
                <w:b w:val="0"/>
                <w:bCs w:val="0"/>
                <w:caps w:val="0"/>
                <w:noProof/>
                <w:kern w:val="2"/>
                <w:sz w:val="24"/>
                <w:szCs w:val="24"/>
                <w:lang w:eastAsia="cs-CZ"/>
                <w14:ligatures w14:val="standardContextual"/>
              </w:rPr>
              <w:tab/>
            </w:r>
            <w:r w:rsidRPr="00B716CA">
              <w:rPr>
                <w:rStyle w:val="Hypertextovodkaz"/>
                <w:noProof/>
              </w:rPr>
              <w:t>ZÁVĚREČNÁ USTANOVENÍ</w:t>
            </w:r>
            <w:r>
              <w:rPr>
                <w:noProof/>
                <w:webHidden/>
              </w:rPr>
              <w:tab/>
            </w:r>
            <w:r>
              <w:rPr>
                <w:noProof/>
                <w:webHidden/>
              </w:rPr>
              <w:fldChar w:fldCharType="begin"/>
            </w:r>
            <w:r>
              <w:rPr>
                <w:noProof/>
                <w:webHidden/>
              </w:rPr>
              <w:instrText xml:space="preserve"> PAGEREF _Toc208320435 \h </w:instrText>
            </w:r>
            <w:r>
              <w:rPr>
                <w:noProof/>
                <w:webHidden/>
              </w:rPr>
            </w:r>
            <w:r>
              <w:rPr>
                <w:noProof/>
                <w:webHidden/>
              </w:rPr>
              <w:fldChar w:fldCharType="separate"/>
            </w:r>
            <w:r w:rsidR="0075129B">
              <w:rPr>
                <w:noProof/>
                <w:webHidden/>
              </w:rPr>
              <w:t>12</w:t>
            </w:r>
            <w:r>
              <w:rPr>
                <w:noProof/>
                <w:webHidden/>
              </w:rPr>
              <w:fldChar w:fldCharType="end"/>
            </w:r>
          </w:hyperlink>
        </w:p>
        <w:p w14:paraId="1711D86E" w14:textId="35DCD74B" w:rsidR="00F1047D" w:rsidRDefault="00F1047D">
          <w:r>
            <w:fldChar w:fldCharType="end"/>
          </w:r>
        </w:p>
      </w:sdtContent>
    </w:sdt>
    <w:p w14:paraId="43DD4846" w14:textId="77777777" w:rsidR="00216EB7" w:rsidRPr="00B04F53" w:rsidRDefault="00216EB7" w:rsidP="00216EB7">
      <w:pPr>
        <w:pStyle w:val="Tytu1"/>
        <w:jc w:val="center"/>
      </w:pPr>
    </w:p>
    <w:p w14:paraId="1B2A6C17" w14:textId="77777777" w:rsidR="00216EB7" w:rsidRPr="00597F1A" w:rsidRDefault="00216EB7" w:rsidP="00216EB7">
      <w:pPr>
        <w:pStyle w:val="H1"/>
      </w:pPr>
      <w:bookmarkStart w:id="0" w:name="_Toc32933959"/>
      <w:bookmarkStart w:id="1" w:name="_Toc67492906"/>
      <w:bookmarkStart w:id="2" w:name="_Toc208320390"/>
      <w:r>
        <w:t xml:space="preserve">Účel a předmět </w:t>
      </w:r>
      <w:bookmarkEnd w:id="0"/>
      <w:bookmarkEnd w:id="1"/>
      <w:r>
        <w:t>předpisů</w:t>
      </w:r>
      <w:bookmarkEnd w:id="2"/>
    </w:p>
    <w:p w14:paraId="45816CD8" w14:textId="77777777" w:rsidR="00216EB7" w:rsidRPr="003C0634" w:rsidRDefault="00216EB7" w:rsidP="00216EB7">
      <w:pPr>
        <w:pStyle w:val="text1"/>
      </w:pPr>
      <w:r>
        <w:t>Předpisy pro interní oznamování společnosti NOVASERVIS spol. s r.o. (dále jen „Předpisy“) definují pravidla pro oznamování porušení práva a pravidla pro nakládání s oznámeními, zejména:</w:t>
      </w:r>
    </w:p>
    <w:p w14:paraId="1139870B" w14:textId="77777777" w:rsidR="00216EB7" w:rsidRPr="003C0634" w:rsidRDefault="00216EB7" w:rsidP="00216EB7">
      <w:pPr>
        <w:pStyle w:val="H5"/>
        <w:ind w:left="1418" w:hanging="851"/>
      </w:pPr>
      <w:r>
        <w:t>typy porušení práva, které lze oznamovat,</w:t>
      </w:r>
    </w:p>
    <w:p w14:paraId="66FE6C0A" w14:textId="77777777" w:rsidR="00216EB7" w:rsidRPr="003C0634" w:rsidRDefault="00216EB7" w:rsidP="00216EB7">
      <w:pPr>
        <w:pStyle w:val="H5"/>
      </w:pPr>
      <w:r>
        <w:t>kdo může oznamovat porušení práva a jak jsou oznamovatelé chráněni,</w:t>
      </w:r>
    </w:p>
    <w:p w14:paraId="49839A91" w14:textId="77777777" w:rsidR="00216EB7" w:rsidRPr="003C0634" w:rsidRDefault="00216EB7" w:rsidP="00216EB7">
      <w:pPr>
        <w:pStyle w:val="H5"/>
      </w:pPr>
      <w:r>
        <w:t xml:space="preserve">jak oznamovat porušení práva, </w:t>
      </w:r>
    </w:p>
    <w:p w14:paraId="58CD8BD5" w14:textId="77777777" w:rsidR="00216EB7" w:rsidRPr="003C0634" w:rsidRDefault="00216EB7" w:rsidP="00216EB7">
      <w:pPr>
        <w:pStyle w:val="H5"/>
      </w:pPr>
      <w:r>
        <w:t>kdo nakládá s oznámeními a jakým způsobem – jak jsou vyšetřována a řešena,</w:t>
      </w:r>
    </w:p>
    <w:p w14:paraId="607A5E71" w14:textId="7380C3A4" w:rsidR="00216EB7" w:rsidRDefault="00216EB7" w:rsidP="00216EB7">
      <w:pPr>
        <w:pStyle w:val="H2"/>
        <w:numPr>
          <w:ilvl w:val="0"/>
          <w:numId w:val="0"/>
        </w:numPr>
        <w:ind w:left="567"/>
      </w:pPr>
      <w:bookmarkStart w:id="3" w:name="_Toc529530169"/>
      <w:bookmarkStart w:id="4" w:name="_Toc23505471"/>
      <w:bookmarkStart w:id="5" w:name="_Toc25563051"/>
      <w:bookmarkStart w:id="6" w:name="_Toc32933964"/>
      <w:bookmarkStart w:id="7" w:name="_Toc208320391"/>
      <w:r>
        <w:rPr>
          <w:rFonts w:asciiTheme="minorHAnsi" w:hAnsiTheme="minorHAnsi"/>
        </w:rPr>
        <w:t xml:space="preserve">Předpisy se vztahují na všechny zaměstnance společnosti </w:t>
      </w:r>
      <w:bookmarkEnd w:id="3"/>
      <w:bookmarkEnd w:id="4"/>
      <w:bookmarkEnd w:id="5"/>
      <w:bookmarkEnd w:id="6"/>
      <w:r>
        <w:t>NOVASERVIS spol. s r.o.</w:t>
      </w:r>
      <w:bookmarkEnd w:id="7"/>
    </w:p>
    <w:p w14:paraId="4944329D" w14:textId="403BBCD4" w:rsidR="002A3C24" w:rsidRPr="002A3C24" w:rsidRDefault="002A3C24" w:rsidP="002A3C24">
      <w:pPr>
        <w:pStyle w:val="text1x"/>
        <w:rPr>
          <w:lang w:eastAsia="pl-PL"/>
        </w:rPr>
      </w:pPr>
      <w:r w:rsidRPr="002A3C24">
        <w:rPr>
          <w:lang w:eastAsia="pl-PL"/>
        </w:rPr>
        <w:t>Tato směrnice vychází ze zákona č. 171/2023 Sb., o ochraně oznamovatelů, a z nařízení GDPR (EU) 2016/679.</w:t>
      </w:r>
    </w:p>
    <w:p w14:paraId="5185FCC0" w14:textId="77777777" w:rsidR="00216EB7" w:rsidRPr="00597F1A" w:rsidRDefault="00216EB7" w:rsidP="00216EB7">
      <w:pPr>
        <w:pStyle w:val="H3"/>
        <w:numPr>
          <w:ilvl w:val="0"/>
          <w:numId w:val="0"/>
        </w:numPr>
        <w:ind w:left="1417"/>
        <w:rPr>
          <w:rFonts w:asciiTheme="minorHAnsi" w:hAnsiTheme="minorHAnsi" w:cstheme="minorHAnsi"/>
          <w:sz w:val="20"/>
          <w:szCs w:val="20"/>
        </w:rPr>
      </w:pPr>
    </w:p>
    <w:p w14:paraId="1C3E3A94" w14:textId="77777777" w:rsidR="00216EB7" w:rsidRPr="004E62E2" w:rsidRDefault="00216EB7" w:rsidP="00216EB7">
      <w:pPr>
        <w:pStyle w:val="H1"/>
        <w:rPr>
          <w:rFonts w:asciiTheme="minorHAnsi" w:hAnsiTheme="minorHAnsi" w:cstheme="minorHAnsi"/>
          <w:szCs w:val="22"/>
        </w:rPr>
      </w:pPr>
      <w:bookmarkStart w:id="8" w:name="_Toc32933965"/>
      <w:bookmarkStart w:id="9" w:name="_Toc67492908"/>
      <w:bookmarkStart w:id="10" w:name="_Toc208320392"/>
      <w:r>
        <w:rPr>
          <w:rFonts w:asciiTheme="minorHAnsi" w:hAnsiTheme="minorHAnsi"/>
        </w:rPr>
        <w:t>definice</w:t>
      </w:r>
      <w:bookmarkEnd w:id="8"/>
      <w:bookmarkEnd w:id="9"/>
      <w:bookmarkEnd w:id="10"/>
    </w:p>
    <w:p w14:paraId="1A59F7AA" w14:textId="77777777" w:rsidR="00216EB7" w:rsidRPr="004E62E2" w:rsidRDefault="00216EB7" w:rsidP="00216EB7">
      <w:pPr>
        <w:pStyle w:val="H2"/>
        <w:rPr>
          <w:rFonts w:asciiTheme="minorHAnsi" w:hAnsiTheme="minorHAnsi" w:cstheme="minorHAnsi"/>
          <w:szCs w:val="22"/>
        </w:rPr>
      </w:pPr>
      <w:bookmarkStart w:id="11" w:name="_Toc536812555"/>
      <w:bookmarkStart w:id="12" w:name="_Toc23505473"/>
      <w:bookmarkStart w:id="13" w:name="_Toc25563053"/>
      <w:bookmarkStart w:id="14" w:name="_Toc32933966"/>
      <w:bookmarkStart w:id="15" w:name="_Toc208320393"/>
      <w:bookmarkStart w:id="16" w:name="_Toc536784117"/>
      <w:bookmarkStart w:id="17" w:name="_Toc536434621"/>
      <w:bookmarkStart w:id="18" w:name="_Hlk47092343"/>
      <w:bookmarkStart w:id="19" w:name="_Toc529530172"/>
      <w:r>
        <w:rPr>
          <w:rFonts w:asciiTheme="minorHAnsi" w:hAnsiTheme="minorHAnsi"/>
          <w:b/>
        </w:rPr>
        <w:t xml:space="preserve">Společnost </w:t>
      </w:r>
      <w:r>
        <w:rPr>
          <w:rFonts w:asciiTheme="minorHAnsi" w:hAnsiTheme="minorHAnsi"/>
        </w:rPr>
        <w:t xml:space="preserve">– </w:t>
      </w:r>
      <w:bookmarkEnd w:id="11"/>
      <w:bookmarkEnd w:id="12"/>
      <w:bookmarkEnd w:id="13"/>
      <w:bookmarkEnd w:id="14"/>
      <w:r>
        <w:t>NOVASERVIS spol. s r.o.</w:t>
      </w:r>
      <w:bookmarkEnd w:id="15"/>
    </w:p>
    <w:p w14:paraId="087EFB92" w14:textId="1BF079E3" w:rsidR="00216EB7" w:rsidRPr="00E60A69" w:rsidRDefault="00216EB7" w:rsidP="00216EB7">
      <w:pPr>
        <w:pStyle w:val="H2"/>
      </w:pPr>
      <w:bookmarkStart w:id="20" w:name="_Toc208320394"/>
      <w:r>
        <w:rPr>
          <w:b/>
        </w:rPr>
        <w:t>Skupina</w:t>
      </w:r>
      <w:r>
        <w:t xml:space="preserve"> – skupina Ferro, skupina kapitálových společností, jejichž mateřskou společností je Ferro S.A.</w:t>
      </w:r>
      <w:r>
        <w:rPr>
          <w:rFonts w:ascii="Times New Roman" w:hAnsi="Times New Roman"/>
          <w:color w:val="auto"/>
          <w:sz w:val="20"/>
        </w:rPr>
        <w:t xml:space="preserve"> </w:t>
      </w:r>
      <w:r>
        <w:t xml:space="preserve">a jejíž dceřinou společností je NOVASERVIS spol. s </w:t>
      </w:r>
      <w:bookmarkEnd w:id="20"/>
      <w:r w:rsidR="000823FF">
        <w:t>r.o.</w:t>
      </w:r>
    </w:p>
    <w:p w14:paraId="0A85B61B" w14:textId="77777777" w:rsidR="00216EB7" w:rsidRDefault="00216EB7" w:rsidP="00216EB7">
      <w:pPr>
        <w:pStyle w:val="H2"/>
      </w:pPr>
      <w:bookmarkStart w:id="21" w:name="_Toc536812558"/>
      <w:bookmarkStart w:id="22" w:name="_Toc23505475"/>
      <w:bookmarkStart w:id="23" w:name="_Toc25563055"/>
      <w:bookmarkStart w:id="24" w:name="_Toc32933967"/>
      <w:bookmarkStart w:id="25" w:name="_Toc208320395"/>
      <w:bookmarkStart w:id="26" w:name="_Toc536784118"/>
      <w:bookmarkEnd w:id="16"/>
      <w:bookmarkEnd w:id="17"/>
      <w:r>
        <w:rPr>
          <w:b/>
        </w:rPr>
        <w:lastRenderedPageBreak/>
        <w:t xml:space="preserve">Zaměstnanci </w:t>
      </w:r>
      <w:r>
        <w:t xml:space="preserve">– </w:t>
      </w:r>
      <w:bookmarkEnd w:id="21"/>
      <w:bookmarkEnd w:id="22"/>
      <w:bookmarkEnd w:id="23"/>
      <w:bookmarkEnd w:id="24"/>
      <w:r>
        <w:t>všechny fyzické osoby v současnosti nebo v minulosti zaměstnané společností na základě pracovní smlouvy nebo občanskoprávní smlouvy, poskytující společnosti práce nebo služby (také prostřednictvím agentury práce). Tato definice zahrnuje také osoby, které ve společnosti vykonávají svoji stáž nebo učňovskou přípravu, ať už placenou nebo neplacenou, žádají o zaměstnání, i členy orgánů nebo podílníky společnosti.</w:t>
      </w:r>
      <w:bookmarkEnd w:id="18"/>
      <w:bookmarkEnd w:id="25"/>
    </w:p>
    <w:p w14:paraId="46A7E7C6" w14:textId="77777777" w:rsidR="00216EB7" w:rsidRPr="00CD5443" w:rsidRDefault="00216EB7" w:rsidP="00216EB7">
      <w:pPr>
        <w:pStyle w:val="H2"/>
      </w:pPr>
      <w:bookmarkStart w:id="27" w:name="_Toc208320396"/>
      <w:r>
        <w:rPr>
          <w:b/>
        </w:rPr>
        <w:t>Pracovník pro dodržování předpisů</w:t>
      </w:r>
      <w:r>
        <w:t xml:space="preserve"> – pověřená a nezávislá osoba v rámci společnosti, která vyšetřuje oznámení a podniká následná opatření.</w:t>
      </w:r>
      <w:bookmarkEnd w:id="27"/>
      <w:r>
        <w:t xml:space="preserve"> </w:t>
      </w:r>
    </w:p>
    <w:p w14:paraId="32737916" w14:textId="77777777" w:rsidR="00216EB7" w:rsidRDefault="00216EB7" w:rsidP="00216EB7">
      <w:pPr>
        <w:pStyle w:val="H2"/>
      </w:pPr>
      <w:bookmarkStart w:id="28" w:name="_Toc208320397"/>
      <w:r>
        <w:rPr>
          <w:b/>
        </w:rPr>
        <w:t>Porušení (neshoda)</w:t>
      </w:r>
      <w:r>
        <w:t xml:space="preserve"> – všechny události, vyskytující se v podnikatelské činnosti společnosti, které porušují nebo mohou porušovat:</w:t>
      </w:r>
      <w:bookmarkEnd w:id="28"/>
    </w:p>
    <w:p w14:paraId="12F918E3" w14:textId="77777777" w:rsidR="00216EB7" w:rsidRDefault="00216EB7" w:rsidP="00216EB7">
      <w:pPr>
        <w:pStyle w:val="H5"/>
      </w:pPr>
      <w:r>
        <w:t>právní předpisy (vnitrostátní nebo unijní), jako např. pro:</w:t>
      </w:r>
    </w:p>
    <w:p w14:paraId="793C7269" w14:textId="77777777" w:rsidR="00216EB7" w:rsidRDefault="00216EB7" w:rsidP="00216EB7">
      <w:pPr>
        <w:pStyle w:val="H7"/>
        <w:ind w:left="2268"/>
      </w:pPr>
      <w:r>
        <w:t xml:space="preserve">zadávání veřejných zakázek; </w:t>
      </w:r>
    </w:p>
    <w:p w14:paraId="1EFE1DF5" w14:textId="77777777" w:rsidR="00216EB7" w:rsidRDefault="00216EB7" w:rsidP="00216EB7">
      <w:pPr>
        <w:pStyle w:val="H7"/>
        <w:ind w:left="2268"/>
      </w:pPr>
      <w:r>
        <w:t>prevenci praní peněz a financování terorismu;</w:t>
      </w:r>
    </w:p>
    <w:p w14:paraId="15D00491" w14:textId="77777777" w:rsidR="00216EB7" w:rsidRDefault="00216EB7" w:rsidP="00216EB7">
      <w:pPr>
        <w:pStyle w:val="H7"/>
        <w:ind w:left="2268"/>
      </w:pPr>
      <w:r>
        <w:t>bezpečnost a shodu výrobků;</w:t>
      </w:r>
    </w:p>
    <w:p w14:paraId="684BE9DE" w14:textId="77777777" w:rsidR="00216EB7" w:rsidRDefault="00216EB7" w:rsidP="00216EB7">
      <w:pPr>
        <w:pStyle w:val="H7"/>
        <w:ind w:left="2268"/>
      </w:pPr>
      <w:r>
        <w:t>ochranu životního prostředí;</w:t>
      </w:r>
    </w:p>
    <w:p w14:paraId="4357D685" w14:textId="77777777" w:rsidR="00216EB7" w:rsidRDefault="00216EB7" w:rsidP="00216EB7">
      <w:pPr>
        <w:pStyle w:val="H7"/>
        <w:ind w:left="2268"/>
      </w:pPr>
      <w:r>
        <w:t>veřejné zdraví;</w:t>
      </w:r>
    </w:p>
    <w:p w14:paraId="1BCD833C" w14:textId="77777777" w:rsidR="00216EB7" w:rsidRDefault="00216EB7" w:rsidP="00216EB7">
      <w:pPr>
        <w:pStyle w:val="H7"/>
        <w:ind w:left="2268"/>
      </w:pPr>
      <w:r>
        <w:t>ochranu spotřebitele;</w:t>
      </w:r>
    </w:p>
    <w:p w14:paraId="3630633F" w14:textId="77777777" w:rsidR="00216EB7" w:rsidRDefault="00216EB7" w:rsidP="00216EB7">
      <w:pPr>
        <w:pStyle w:val="H7"/>
        <w:ind w:left="2268"/>
      </w:pPr>
      <w:r>
        <w:t>ochranu soukromí a osobních údajů;</w:t>
      </w:r>
    </w:p>
    <w:p w14:paraId="795C488B" w14:textId="77777777" w:rsidR="00216EB7" w:rsidRDefault="00216EB7" w:rsidP="00216EB7">
      <w:pPr>
        <w:pStyle w:val="H7"/>
        <w:ind w:left="2268"/>
      </w:pPr>
      <w:r>
        <w:t>vnitřní trh EU, včetně pravidel hospodářské soutěže nebo zdanění právnických osob.</w:t>
      </w:r>
    </w:p>
    <w:p w14:paraId="6457E279" w14:textId="77777777" w:rsidR="00216EB7" w:rsidRDefault="00216EB7" w:rsidP="00216EB7">
      <w:pPr>
        <w:pStyle w:val="H5"/>
      </w:pPr>
      <w:r>
        <w:t>porušení z hlediska obtěžování na pracovišti, diskriminace a sexuálního obtěžování</w:t>
      </w:r>
    </w:p>
    <w:p w14:paraId="1A981E0A" w14:textId="77777777" w:rsidR="00216EB7" w:rsidRDefault="00216EB7" w:rsidP="00216EB7">
      <w:pPr>
        <w:pStyle w:val="H5"/>
      </w:pPr>
      <w:r>
        <w:t>interní kodexy chování a postupy společnosti, jako např.:</w:t>
      </w:r>
    </w:p>
    <w:p w14:paraId="58C5368E" w14:textId="77777777" w:rsidR="00216EB7" w:rsidRDefault="00216EB7" w:rsidP="00216EB7">
      <w:pPr>
        <w:pStyle w:val="H7"/>
      </w:pPr>
      <w:r>
        <w:t>boj proti korupci a střet zájmů;</w:t>
      </w:r>
    </w:p>
    <w:p w14:paraId="20CAC605" w14:textId="77777777" w:rsidR="00216EB7" w:rsidRDefault="00216EB7" w:rsidP="00216EB7">
      <w:pPr>
        <w:pStyle w:val="H7"/>
      </w:pPr>
      <w:r>
        <w:t>bezpečnost a zdraví při práci;</w:t>
      </w:r>
    </w:p>
    <w:p w14:paraId="1E1B7EE4" w14:textId="77777777" w:rsidR="00216EB7" w:rsidRPr="004E62E2" w:rsidRDefault="00216EB7" w:rsidP="00216EB7">
      <w:pPr>
        <w:pStyle w:val="H7"/>
      </w:pPr>
      <w:r>
        <w:t>podvody, krádež a zneužití majetku společnosti;</w:t>
      </w:r>
    </w:p>
    <w:p w14:paraId="1FDFB8D6" w14:textId="77777777" w:rsidR="00216EB7" w:rsidRDefault="00216EB7" w:rsidP="00216EB7">
      <w:pPr>
        <w:pStyle w:val="H5"/>
      </w:pPr>
      <w:r>
        <w:t>závazné kodexy chování, tržní nebo odvětvové normy, které společnost přijala;</w:t>
      </w:r>
    </w:p>
    <w:p w14:paraId="64C2B292" w14:textId="77777777" w:rsidR="00216EB7" w:rsidRDefault="00216EB7" w:rsidP="00216EB7">
      <w:pPr>
        <w:pStyle w:val="H5"/>
      </w:pPr>
      <w:r>
        <w:t>etické normy nebo osvědčené postupy v obchodu.</w:t>
      </w:r>
    </w:p>
    <w:p w14:paraId="1C497A29" w14:textId="77777777" w:rsidR="00216EB7" w:rsidRDefault="00216EB7" w:rsidP="00216EB7">
      <w:pPr>
        <w:pStyle w:val="H2"/>
      </w:pPr>
      <w:bookmarkStart w:id="29" w:name="_Toc208320398"/>
      <w:r>
        <w:rPr>
          <w:b/>
        </w:rPr>
        <w:t>Oznámení, oznamování porušení</w:t>
      </w:r>
      <w:r>
        <w:t xml:space="preserve"> – zveřejnění v dobré víře informací o výskytu:</w:t>
      </w:r>
      <w:bookmarkEnd w:id="29"/>
    </w:p>
    <w:p w14:paraId="49E038AE" w14:textId="77777777" w:rsidR="00216EB7" w:rsidRDefault="00216EB7" w:rsidP="00216EB7">
      <w:pPr>
        <w:pStyle w:val="H5"/>
      </w:pPr>
      <w:r>
        <w:t>skutečného porušení nebo</w:t>
      </w:r>
    </w:p>
    <w:p w14:paraId="39EB577C" w14:textId="77777777" w:rsidR="00216EB7" w:rsidRDefault="00216EB7" w:rsidP="00216EB7">
      <w:pPr>
        <w:pStyle w:val="H5"/>
      </w:pPr>
      <w:r>
        <w:t>důvodného podezření na porušení,</w:t>
      </w:r>
    </w:p>
    <w:p w14:paraId="1487F595" w14:textId="77777777" w:rsidR="00216EB7" w:rsidRDefault="00216EB7" w:rsidP="00216EB7">
      <w:pPr>
        <w:pStyle w:val="text1x"/>
      </w:pPr>
      <w:r>
        <w:t>s využitím jednoho z kanálu pro oznamování uvedených v předpisech.</w:t>
      </w:r>
    </w:p>
    <w:p w14:paraId="3EE51E2F" w14:textId="77777777" w:rsidR="00216EB7" w:rsidRDefault="00216EB7" w:rsidP="00216EB7">
      <w:pPr>
        <w:pStyle w:val="H2"/>
      </w:pPr>
      <w:bookmarkStart w:id="30" w:name="_Toc208320399"/>
      <w:r>
        <w:rPr>
          <w:b/>
        </w:rPr>
        <w:t>Jednání v dobré víře</w:t>
      </w:r>
      <w:r>
        <w:t xml:space="preserve"> – jednání v přesvědčení, že zveřejněné informace jsou v době oznámení pravdivé a že se jedná nebo může jednat o porušení práva, s ohledem na zájmy společnosti nebo zaměstnanců.</w:t>
      </w:r>
      <w:bookmarkEnd w:id="30"/>
    </w:p>
    <w:p w14:paraId="76C3CEBB" w14:textId="77777777" w:rsidR="00216EB7" w:rsidRPr="00B16F0A" w:rsidRDefault="00216EB7" w:rsidP="00216EB7">
      <w:pPr>
        <w:pStyle w:val="text1x"/>
      </w:pPr>
      <w:r>
        <w:rPr>
          <w:b/>
        </w:rPr>
        <w:lastRenderedPageBreak/>
        <w:t>Pozor!</w:t>
      </w:r>
      <w:r>
        <w:t xml:space="preserve"> České právo upravuje potenciální trestní odpovědnost pro každého, kdo jednal </w:t>
      </w:r>
      <w:r>
        <w:rPr>
          <w:u w:val="single"/>
        </w:rPr>
        <w:t>ve zlé víře</w:t>
      </w:r>
      <w:r>
        <w:t xml:space="preserve">, tj. </w:t>
      </w:r>
      <w:r>
        <w:rPr>
          <w:u w:val="single"/>
        </w:rPr>
        <w:t>úmyslně</w:t>
      </w:r>
      <w:r>
        <w:t xml:space="preserve">, a v důsledku toho poskytl </w:t>
      </w:r>
      <w:r>
        <w:rPr>
          <w:u w:val="single"/>
        </w:rPr>
        <w:t>nepravdivé</w:t>
      </w:r>
      <w:r>
        <w:t xml:space="preserve"> informace ke škodě ostatních zaměstnanců a skupiny!</w:t>
      </w:r>
    </w:p>
    <w:p w14:paraId="50DEDE15" w14:textId="2D36D1E2" w:rsidR="00216EB7" w:rsidRDefault="00216EB7" w:rsidP="00216EB7">
      <w:pPr>
        <w:pStyle w:val="H2"/>
      </w:pPr>
      <w:bookmarkStart w:id="31" w:name="_Toc208320400"/>
      <w:r>
        <w:rPr>
          <w:b/>
        </w:rPr>
        <w:t>Oznamovatel (</w:t>
      </w:r>
      <w:proofErr w:type="spellStart"/>
      <w:r>
        <w:rPr>
          <w:b/>
        </w:rPr>
        <w:t>whistleblower</w:t>
      </w:r>
      <w:proofErr w:type="spellEnd"/>
      <w:r>
        <w:rPr>
          <w:b/>
        </w:rPr>
        <w:t>)</w:t>
      </w:r>
      <w:r>
        <w:t xml:space="preserve"> – zaměstnanec, který oznámil porušení práva.</w:t>
      </w:r>
      <w:bookmarkEnd w:id="31"/>
      <w:r w:rsidR="00AC20CB">
        <w:t xml:space="preserve"> </w:t>
      </w:r>
      <w:r w:rsidR="00AC20CB" w:rsidRPr="00AC20CB">
        <w:t>Oznamovatelem může být také bývalý zaměstnanec, uchazeč o zaměstnání, dodavatel nebo jiná osoba v pracovním vztahu se společností.</w:t>
      </w:r>
    </w:p>
    <w:p w14:paraId="10FAB91A" w14:textId="77777777" w:rsidR="00216EB7" w:rsidRDefault="00216EB7" w:rsidP="00216EB7">
      <w:pPr>
        <w:pStyle w:val="H2"/>
      </w:pPr>
      <w:bookmarkStart w:id="32" w:name="_Toc208320401"/>
      <w:r>
        <w:rPr>
          <w:b/>
        </w:rPr>
        <w:t>Registr</w:t>
      </w:r>
      <w:r>
        <w:t xml:space="preserve"> – registr oznámení o porušení práva.</w:t>
      </w:r>
      <w:bookmarkEnd w:id="32"/>
    </w:p>
    <w:p w14:paraId="7D9BDC61" w14:textId="77777777" w:rsidR="00216EB7" w:rsidRDefault="00216EB7" w:rsidP="00216EB7">
      <w:pPr>
        <w:pStyle w:val="H2"/>
        <w:rPr>
          <w:rFonts w:eastAsia="Arial"/>
        </w:rPr>
      </w:pPr>
      <w:bookmarkStart w:id="33" w:name="_Toc208320402"/>
      <w:r>
        <w:rPr>
          <w:b/>
        </w:rPr>
        <w:t>Odvetné opatření</w:t>
      </w:r>
      <w:r>
        <w:t xml:space="preserve"> – jakékoli opatření podniknuté vůči oznamovateli v souvislosti s jeho oznámením, jehož záměrem je zhoršit jeho situaci. Patří sem jakékoli opatření, jako je diskriminace nebo nespravedlivé zacházení, jehož záměrem je potrestat oznamovatele za podání oznámení, jako je např. ukončení pracovního poměru, ignorování povýšení, neodůvodněné znevýhodnění, nepříznivá změna podmínek zaměstnání nebo odměn, nebo jakékoli úmyslné poškození další kariéry nebo pověsti, nebo hrozba takovým opatřením.</w:t>
      </w:r>
      <w:bookmarkEnd w:id="33"/>
    </w:p>
    <w:p w14:paraId="5F626F72" w14:textId="77777777" w:rsidR="00216EB7" w:rsidRPr="00F10A26" w:rsidRDefault="00216EB7" w:rsidP="00216EB7">
      <w:pPr>
        <w:pStyle w:val="text1x"/>
        <w:rPr>
          <w:lang w:eastAsia="pl-PL"/>
        </w:rPr>
      </w:pPr>
    </w:p>
    <w:p w14:paraId="5E5A4C24" w14:textId="77777777" w:rsidR="00216EB7" w:rsidRPr="00597F1A" w:rsidRDefault="00216EB7" w:rsidP="00216EB7">
      <w:pPr>
        <w:pStyle w:val="H1"/>
      </w:pPr>
      <w:bookmarkStart w:id="34" w:name="_Toc208320403"/>
      <w:bookmarkEnd w:id="19"/>
      <w:bookmarkEnd w:id="26"/>
      <w:r>
        <w:t>Jak OZNAMOVAT porušení práva?</w:t>
      </w:r>
      <w:bookmarkEnd w:id="34"/>
    </w:p>
    <w:p w14:paraId="4927F837" w14:textId="77777777" w:rsidR="00216EB7" w:rsidRPr="00996CE3" w:rsidRDefault="00216EB7" w:rsidP="00216EB7">
      <w:pPr>
        <w:pStyle w:val="H2"/>
        <w:rPr>
          <w:b/>
        </w:rPr>
      </w:pPr>
      <w:bookmarkStart w:id="35" w:name="_Toc208320404"/>
      <w:r>
        <w:rPr>
          <w:b/>
        </w:rPr>
        <w:t>Primární kanály pro oznamování</w:t>
      </w:r>
      <w:bookmarkEnd w:id="35"/>
    </w:p>
    <w:p w14:paraId="1D6A287B" w14:textId="77777777" w:rsidR="00216EB7" w:rsidRDefault="00216EB7" w:rsidP="00216EB7">
      <w:pPr>
        <w:pStyle w:val="text1"/>
      </w:pPr>
      <w:r>
        <w:t>Zaměstnanec může oznámit porušení práva:</w:t>
      </w:r>
    </w:p>
    <w:p w14:paraId="0C9FA9A3" w14:textId="77777777" w:rsidR="00216EB7" w:rsidRPr="005459D7" w:rsidRDefault="00216EB7" w:rsidP="00216EB7">
      <w:pPr>
        <w:pStyle w:val="H5"/>
        <w:rPr>
          <w:rFonts w:eastAsia="Arial"/>
        </w:rPr>
      </w:pPr>
      <w:r>
        <w:rPr>
          <w:b/>
        </w:rPr>
        <w:t>e-mailem</w:t>
      </w:r>
      <w:r>
        <w:t xml:space="preserve">, na e-mailovou adresu: </w:t>
      </w:r>
      <w:r w:rsidRPr="00433A44">
        <w:rPr>
          <w:rFonts w:ascii="Times New Roman" w:hAnsi="Times New Roman"/>
          <w:sz w:val="24"/>
          <w:u w:val="single"/>
          <w:lang w:eastAsia="cs-CZ"/>
        </w:rPr>
        <w:t>whistleblow</w:t>
      </w:r>
      <w:r>
        <w:rPr>
          <w:rFonts w:ascii="Times New Roman" w:hAnsi="Times New Roman"/>
          <w:sz w:val="24"/>
          <w:u w:val="single"/>
          <w:lang w:eastAsia="cs-CZ"/>
        </w:rPr>
        <w:t>ing</w:t>
      </w:r>
      <w:r w:rsidRPr="00433A44">
        <w:rPr>
          <w:rFonts w:ascii="Times New Roman" w:hAnsi="Times New Roman"/>
          <w:sz w:val="24"/>
          <w:u w:val="single"/>
          <w:lang w:eastAsia="cs-CZ"/>
        </w:rPr>
        <w:t>@novaservis.cz</w:t>
      </w:r>
      <w:r>
        <w:t>;</w:t>
      </w:r>
    </w:p>
    <w:p w14:paraId="643B9978" w14:textId="16D1018B" w:rsidR="00216EB7" w:rsidRPr="005459D7" w:rsidRDefault="00216EB7" w:rsidP="00216EB7">
      <w:pPr>
        <w:pStyle w:val="H5"/>
        <w:rPr>
          <w:rFonts w:eastAsia="Arial"/>
        </w:rPr>
      </w:pPr>
      <w:r>
        <w:rPr>
          <w:b/>
        </w:rPr>
        <w:t>dopisem na papíře</w:t>
      </w:r>
      <w:r>
        <w:t xml:space="preserve">, na obvyklou poštovní adresu: </w:t>
      </w:r>
      <w:r>
        <w:rPr>
          <w:rFonts w:ascii="Times New Roman" w:hAnsi="Times New Roman"/>
          <w:sz w:val="24"/>
          <w:lang w:eastAsia="cs-CZ"/>
        </w:rPr>
        <w:t>NOVASERVIS spol. s r.o.</w:t>
      </w:r>
      <w:r w:rsidRPr="00392141">
        <w:rPr>
          <w:rFonts w:ascii="Times New Roman" w:hAnsi="Times New Roman"/>
          <w:sz w:val="24"/>
          <w:lang w:eastAsia="cs-CZ"/>
        </w:rPr>
        <w:t xml:space="preserve">, </w:t>
      </w:r>
      <w:r>
        <w:rPr>
          <w:rFonts w:ascii="Times New Roman" w:hAnsi="Times New Roman"/>
          <w:sz w:val="24"/>
          <w:lang w:eastAsia="cs-CZ"/>
        </w:rPr>
        <w:t>Merhautova 208, 613 00</w:t>
      </w:r>
      <w:r w:rsidRPr="00392141">
        <w:rPr>
          <w:rFonts w:ascii="Times New Roman" w:hAnsi="Times New Roman"/>
          <w:sz w:val="24"/>
          <w:lang w:eastAsia="cs-CZ"/>
        </w:rPr>
        <w:t xml:space="preserve"> </w:t>
      </w:r>
      <w:r>
        <w:rPr>
          <w:rFonts w:ascii="Times New Roman" w:hAnsi="Times New Roman"/>
          <w:sz w:val="24"/>
          <w:lang w:eastAsia="cs-CZ"/>
        </w:rPr>
        <w:t>Brno</w:t>
      </w:r>
      <w:r w:rsidRPr="00392141">
        <w:rPr>
          <w:rFonts w:ascii="Times New Roman" w:hAnsi="Times New Roman"/>
          <w:sz w:val="24"/>
          <w:lang w:eastAsia="cs-CZ"/>
        </w:rPr>
        <w:t xml:space="preserve">, adresovaná </w:t>
      </w:r>
      <w:r>
        <w:rPr>
          <w:rFonts w:ascii="Times New Roman" w:hAnsi="Times New Roman"/>
          <w:sz w:val="24"/>
          <w:lang w:eastAsia="cs-CZ"/>
        </w:rPr>
        <w:t>na jméno:</w:t>
      </w:r>
      <w:r w:rsidRPr="00392141">
        <w:rPr>
          <w:rFonts w:ascii="Times New Roman" w:hAnsi="Times New Roman"/>
          <w:sz w:val="24"/>
          <w:lang w:eastAsia="cs-CZ"/>
        </w:rPr>
        <w:t xml:space="preserve"> </w:t>
      </w:r>
      <w:r>
        <w:rPr>
          <w:rFonts w:ascii="Times New Roman" w:hAnsi="Times New Roman"/>
          <w:sz w:val="24"/>
          <w:lang w:eastAsia="cs-CZ"/>
        </w:rPr>
        <w:t>Radek Adámek</w:t>
      </w:r>
      <w:r>
        <w:t>, s poznámkou „osobně“; nebo</w:t>
      </w:r>
    </w:p>
    <w:p w14:paraId="5D7B86D4" w14:textId="77777777" w:rsidR="00216EB7" w:rsidRPr="005459D7" w:rsidRDefault="00216EB7" w:rsidP="00216EB7">
      <w:pPr>
        <w:pStyle w:val="H5"/>
        <w:rPr>
          <w:rFonts w:eastAsia="Arial"/>
        </w:rPr>
      </w:pPr>
      <w:r>
        <w:t xml:space="preserve">prostřednictvím </w:t>
      </w:r>
      <w:r>
        <w:rPr>
          <w:b/>
        </w:rPr>
        <w:t>telefonní linky</w:t>
      </w:r>
      <w:r>
        <w:t xml:space="preserve"> na </w:t>
      </w:r>
      <w:r w:rsidRPr="00392141">
        <w:rPr>
          <w:rFonts w:ascii="Times New Roman" w:hAnsi="Times New Roman"/>
          <w:sz w:val="24"/>
          <w:lang w:eastAsia="cs-CZ"/>
        </w:rPr>
        <w:t xml:space="preserve">+ </w:t>
      </w:r>
      <w:r>
        <w:rPr>
          <w:rFonts w:ascii="Times New Roman" w:hAnsi="Times New Roman"/>
          <w:sz w:val="24"/>
          <w:lang w:eastAsia="cs-CZ"/>
        </w:rPr>
        <w:t>420 515 282 101</w:t>
      </w:r>
      <w:r>
        <w:t>; nebo</w:t>
      </w:r>
    </w:p>
    <w:p w14:paraId="66F064FB" w14:textId="77777777" w:rsidR="00216EB7" w:rsidRPr="005459D7" w:rsidRDefault="00216EB7" w:rsidP="00216EB7">
      <w:pPr>
        <w:pStyle w:val="H5"/>
        <w:rPr>
          <w:rFonts w:eastAsia="Arial"/>
        </w:rPr>
      </w:pPr>
      <w:r w:rsidRPr="00BB7418">
        <w:rPr>
          <w:rFonts w:ascii="Times New Roman" w:hAnsi="Times New Roman"/>
          <w:b/>
          <w:bCs/>
          <w:sz w:val="24"/>
          <w:lang w:eastAsia="cs-CZ"/>
        </w:rPr>
        <w:t>osobně</w:t>
      </w:r>
      <w:r w:rsidRPr="00392141">
        <w:rPr>
          <w:rFonts w:ascii="Times New Roman" w:hAnsi="Times New Roman"/>
          <w:sz w:val="24"/>
          <w:lang w:eastAsia="cs-CZ"/>
        </w:rPr>
        <w:t xml:space="preserve"> na setkání s</w:t>
      </w:r>
      <w:r>
        <w:rPr>
          <w:rFonts w:ascii="Times New Roman" w:hAnsi="Times New Roman"/>
          <w:sz w:val="24"/>
          <w:lang w:eastAsia="cs-CZ"/>
        </w:rPr>
        <w:t> Radkem Adámkem</w:t>
      </w:r>
      <w:r w:rsidRPr="00392141">
        <w:rPr>
          <w:rFonts w:ascii="Times New Roman" w:hAnsi="Times New Roman"/>
          <w:sz w:val="24"/>
          <w:lang w:eastAsia="cs-CZ"/>
        </w:rPr>
        <w:t xml:space="preserve"> </w:t>
      </w:r>
      <w:r>
        <w:rPr>
          <w:rFonts w:ascii="Times New Roman" w:hAnsi="Times New Roman"/>
          <w:sz w:val="24"/>
          <w:lang w:eastAsia="cs-CZ"/>
        </w:rPr>
        <w:t>na</w:t>
      </w:r>
      <w:r w:rsidRPr="00392141">
        <w:rPr>
          <w:rFonts w:ascii="Times New Roman" w:hAnsi="Times New Roman"/>
          <w:sz w:val="24"/>
          <w:lang w:eastAsia="cs-CZ"/>
        </w:rPr>
        <w:t xml:space="preserve"> </w:t>
      </w:r>
      <w:r>
        <w:rPr>
          <w:rFonts w:ascii="Times New Roman" w:hAnsi="Times New Roman"/>
          <w:sz w:val="24"/>
          <w:lang w:eastAsia="cs-CZ"/>
        </w:rPr>
        <w:t>pobočce</w:t>
      </w:r>
      <w:r w:rsidRPr="00392141">
        <w:rPr>
          <w:rFonts w:ascii="Times New Roman" w:hAnsi="Times New Roman"/>
          <w:sz w:val="24"/>
          <w:lang w:eastAsia="cs-CZ"/>
        </w:rPr>
        <w:t xml:space="preserve"> společnosti </w:t>
      </w:r>
      <w:r>
        <w:rPr>
          <w:rFonts w:ascii="Times New Roman" w:hAnsi="Times New Roman"/>
          <w:sz w:val="24"/>
          <w:lang w:eastAsia="cs-CZ"/>
        </w:rPr>
        <w:t>NOVASERVIS spol. s r.o., Družstevní 5, 669 25 Znojmo nebo Merhautova 208, 613 00, Brno</w:t>
      </w:r>
      <w:r>
        <w:t xml:space="preserve">; </w:t>
      </w:r>
    </w:p>
    <w:p w14:paraId="2F5ED597" w14:textId="77777777" w:rsidR="00216EB7" w:rsidRDefault="00216EB7" w:rsidP="00216EB7">
      <w:pPr>
        <w:pStyle w:val="H5"/>
        <w:rPr>
          <w:rFonts w:eastAsia="Arial"/>
        </w:rPr>
      </w:pPr>
      <w:r>
        <w:t xml:space="preserve">vložením </w:t>
      </w:r>
      <w:r>
        <w:rPr>
          <w:b/>
        </w:rPr>
        <w:t>oznámení na papíře (v zalepené obálce) do schránky označené „</w:t>
      </w:r>
      <w:proofErr w:type="spellStart"/>
      <w:r>
        <w:rPr>
          <w:b/>
        </w:rPr>
        <w:t>Whistleblowing</w:t>
      </w:r>
      <w:proofErr w:type="spellEnd"/>
      <w:r>
        <w:rPr>
          <w:b/>
        </w:rPr>
        <w:t>“</w:t>
      </w:r>
      <w:r>
        <w:t>, která se nachází na snadno přístupném místě, aby se zajistila důvěrnost</w:t>
      </w:r>
    </w:p>
    <w:p w14:paraId="6434C49D" w14:textId="77777777" w:rsidR="00216EB7" w:rsidRPr="005459D7" w:rsidRDefault="00216EB7" w:rsidP="00216EB7">
      <w:pPr>
        <w:pStyle w:val="H5"/>
        <w:rPr>
          <w:rFonts w:eastAsia="Arial"/>
        </w:rPr>
      </w:pPr>
      <w:r>
        <w:t>vyplněním on-line formuláře dostupného na webových stránkách společnosti.</w:t>
      </w:r>
    </w:p>
    <w:p w14:paraId="5767B52B" w14:textId="77777777" w:rsidR="00216EB7" w:rsidRPr="00FF600E" w:rsidRDefault="00216EB7" w:rsidP="00216EB7">
      <w:pPr>
        <w:pStyle w:val="H5"/>
        <w:numPr>
          <w:ilvl w:val="0"/>
          <w:numId w:val="0"/>
        </w:numPr>
        <w:ind w:left="567"/>
        <w:rPr>
          <w:szCs w:val="22"/>
        </w:rPr>
      </w:pPr>
      <w:r>
        <w:t xml:space="preserve">Každý kanál obsluhuje </w:t>
      </w:r>
      <w:r>
        <w:rPr>
          <w:b/>
        </w:rPr>
        <w:t>pracovník pro dodržování předpisů</w:t>
      </w:r>
      <w:r>
        <w:t xml:space="preserve">. </w:t>
      </w:r>
    </w:p>
    <w:p w14:paraId="409E0F4F" w14:textId="77777777" w:rsidR="00216EB7" w:rsidRDefault="00216EB7" w:rsidP="00216EB7">
      <w:pPr>
        <w:pStyle w:val="H2"/>
        <w:rPr>
          <w:b/>
        </w:rPr>
      </w:pPr>
      <w:bookmarkStart w:id="36" w:name="_Toc208320405"/>
      <w:r>
        <w:rPr>
          <w:b/>
        </w:rPr>
        <w:t>Alternativní kanál pro oznamování</w:t>
      </w:r>
      <w:bookmarkEnd w:id="36"/>
    </w:p>
    <w:p w14:paraId="0ABE17A1" w14:textId="77777777" w:rsidR="00216EB7" w:rsidRDefault="00216EB7" w:rsidP="00216EB7">
      <w:pPr>
        <w:pStyle w:val="text1"/>
      </w:pPr>
      <w:r>
        <w:t xml:space="preserve">Aby se zajistilo, že s oznámeními bude nakládáno zcela objektivně a nezávisle, společnost zřídí alternativní kanál pro oznamování </w:t>
      </w:r>
      <w:r>
        <w:rPr>
          <w:b/>
        </w:rPr>
        <w:t xml:space="preserve">pro případ, že se oznámení týká např. pracovníka pro dodržování předpisů nebo jiné osoby zapojené do procesu </w:t>
      </w:r>
      <w:proofErr w:type="spellStart"/>
      <w:r>
        <w:rPr>
          <w:b/>
        </w:rPr>
        <w:t>whistleblowingu</w:t>
      </w:r>
      <w:proofErr w:type="spellEnd"/>
      <w:r>
        <w:t xml:space="preserve">.   </w:t>
      </w:r>
    </w:p>
    <w:p w14:paraId="399D2B5E" w14:textId="77777777" w:rsidR="00216EB7" w:rsidRPr="00CA4924" w:rsidRDefault="00216EB7" w:rsidP="00216EB7">
      <w:pPr>
        <w:pStyle w:val="text1"/>
      </w:pPr>
      <w:r>
        <w:t xml:space="preserve">Pomocí </w:t>
      </w:r>
      <w:r w:rsidRPr="00CA4924">
        <w:t xml:space="preserve">alternativního kanálu pro oznamování mohou být zprávy odeslány: </w:t>
      </w:r>
    </w:p>
    <w:p w14:paraId="5D95919C" w14:textId="77777777" w:rsidR="00216EB7" w:rsidRPr="00CA4924" w:rsidRDefault="00216EB7" w:rsidP="00216EB7">
      <w:pPr>
        <w:pStyle w:val="H7"/>
      </w:pPr>
      <w:r w:rsidRPr="00CA4924">
        <w:lastRenderedPageBreak/>
        <w:t xml:space="preserve">jednateli </w:t>
      </w:r>
      <w:r w:rsidRPr="00CA4924">
        <w:rPr>
          <w:b/>
        </w:rPr>
        <w:t>dopisem na papíře</w:t>
      </w:r>
      <w:r w:rsidRPr="00CA4924">
        <w:t xml:space="preserve">, na obvyklou poštovní adresu: </w:t>
      </w:r>
      <w:r w:rsidRPr="00CA4924">
        <w:rPr>
          <w:rFonts w:ascii="Times New Roman" w:hAnsi="Times New Roman"/>
          <w:sz w:val="24"/>
          <w:lang w:eastAsia="cs-CZ"/>
        </w:rPr>
        <w:t>NOVASERVIS spol. s r.o., Merhautova 208, 613 00 Brno</w:t>
      </w:r>
      <w:r w:rsidRPr="00CA4924">
        <w:t>, adresovaným jednateli s poznámkou „osobně“; nebo</w:t>
      </w:r>
    </w:p>
    <w:p w14:paraId="4DFFED0E" w14:textId="77777777" w:rsidR="00216EB7" w:rsidRDefault="00216EB7" w:rsidP="00216EB7">
      <w:pPr>
        <w:pStyle w:val="H7"/>
      </w:pPr>
      <w:r w:rsidRPr="00CA4924">
        <w:rPr>
          <w:b/>
        </w:rPr>
        <w:t>pokud se oznámení týká jednatele</w:t>
      </w:r>
      <w:r w:rsidRPr="00CA4924">
        <w:t xml:space="preserve"> – dozorčí radě </w:t>
      </w:r>
      <w:r w:rsidRPr="00CA4924">
        <w:rPr>
          <w:b/>
        </w:rPr>
        <w:t>dopisem</w:t>
      </w:r>
      <w:r>
        <w:rPr>
          <w:b/>
        </w:rPr>
        <w:t xml:space="preserve"> na papíře</w:t>
      </w:r>
      <w:r>
        <w:t xml:space="preserve">, na obvyklou poštovní adresu: </w:t>
      </w:r>
      <w:r>
        <w:rPr>
          <w:rFonts w:ascii="Times New Roman" w:hAnsi="Times New Roman"/>
          <w:sz w:val="24"/>
          <w:lang w:eastAsia="cs-CZ"/>
        </w:rPr>
        <w:t>NOVASERVIS spol. s r.o.</w:t>
      </w:r>
      <w:r w:rsidRPr="00392141">
        <w:rPr>
          <w:rFonts w:ascii="Times New Roman" w:hAnsi="Times New Roman"/>
          <w:sz w:val="24"/>
          <w:lang w:eastAsia="cs-CZ"/>
        </w:rPr>
        <w:t xml:space="preserve">, </w:t>
      </w:r>
      <w:r>
        <w:rPr>
          <w:rFonts w:ascii="Times New Roman" w:hAnsi="Times New Roman"/>
          <w:sz w:val="24"/>
          <w:lang w:eastAsia="cs-CZ"/>
        </w:rPr>
        <w:t>Merhautova 208, 613 00</w:t>
      </w:r>
      <w:r w:rsidRPr="00392141">
        <w:rPr>
          <w:rFonts w:ascii="Times New Roman" w:hAnsi="Times New Roman"/>
          <w:sz w:val="24"/>
          <w:lang w:eastAsia="cs-CZ"/>
        </w:rPr>
        <w:t xml:space="preserve"> </w:t>
      </w:r>
      <w:r>
        <w:rPr>
          <w:rFonts w:ascii="Times New Roman" w:hAnsi="Times New Roman"/>
          <w:sz w:val="24"/>
          <w:lang w:eastAsia="cs-CZ"/>
        </w:rPr>
        <w:t>Brno</w:t>
      </w:r>
      <w:r>
        <w:t>, adresovaným předsedovi dozorčí rady s poznámkou „osobně“.</w:t>
      </w:r>
    </w:p>
    <w:p w14:paraId="6E3614B0" w14:textId="77777777" w:rsidR="00216EB7" w:rsidRDefault="00216EB7" w:rsidP="00216EB7">
      <w:pPr>
        <w:pStyle w:val="text1"/>
      </w:pPr>
      <w:r>
        <w:t>V této situaci se příslušným způsobem uplatní ustanovení těchto předpisů – zejména, pokud oznámení není anonymní, nebude dotčeným osobám zveřejněn obsah oznámení ani totožnost oznamovatele.</w:t>
      </w:r>
    </w:p>
    <w:p w14:paraId="2BC4A5A4" w14:textId="77777777" w:rsidR="00216EB7" w:rsidRDefault="00216EB7" w:rsidP="00216EB7">
      <w:pPr>
        <w:pStyle w:val="text1"/>
      </w:pPr>
    </w:p>
    <w:p w14:paraId="3213483D" w14:textId="77777777" w:rsidR="00216EB7" w:rsidRDefault="00216EB7" w:rsidP="00216EB7">
      <w:pPr>
        <w:pStyle w:val="H1"/>
      </w:pPr>
      <w:bookmarkStart w:id="37" w:name="_Toc208320406"/>
      <w:r>
        <w:t>Co by mělo OZNÁMENÍ obsahovat?</w:t>
      </w:r>
      <w:bookmarkEnd w:id="37"/>
    </w:p>
    <w:p w14:paraId="28C726D3" w14:textId="77777777" w:rsidR="00216EB7" w:rsidRDefault="00216EB7" w:rsidP="00216EB7">
      <w:pPr>
        <w:pStyle w:val="text1"/>
      </w:pPr>
      <w:r>
        <w:t>Aby byl případ zpracován spravedlivě a urychleně, mělo by oznámení obsahovat:</w:t>
      </w:r>
    </w:p>
    <w:p w14:paraId="7B293E3F" w14:textId="77777777" w:rsidR="00216EB7" w:rsidRDefault="00216EB7" w:rsidP="00216EB7">
      <w:pPr>
        <w:pStyle w:val="H7"/>
        <w:rPr>
          <w:rFonts w:eastAsia="Arial"/>
          <w:szCs w:val="22"/>
        </w:rPr>
      </w:pPr>
      <w:r>
        <w:rPr>
          <w:b/>
        </w:rPr>
        <w:t>název společnosti a oddělení</w:t>
      </w:r>
      <w:r>
        <w:t xml:space="preserve">, kterého se týká, </w:t>
      </w:r>
    </w:p>
    <w:p w14:paraId="7845EFAB" w14:textId="77777777" w:rsidR="00216EB7" w:rsidRPr="00CD0848" w:rsidRDefault="00216EB7" w:rsidP="00216EB7">
      <w:pPr>
        <w:pStyle w:val="H7"/>
        <w:rPr>
          <w:rFonts w:eastAsia="Arial"/>
          <w:szCs w:val="22"/>
        </w:rPr>
      </w:pPr>
      <w:r>
        <w:rPr>
          <w:b/>
        </w:rPr>
        <w:t>popis porušení</w:t>
      </w:r>
      <w:r>
        <w:t xml:space="preserve"> (čeho se týká, kdy a kde k němu došlo nebo může dojít),</w:t>
      </w:r>
    </w:p>
    <w:p w14:paraId="2E086BD5" w14:textId="77777777" w:rsidR="00216EB7" w:rsidRDefault="00216EB7" w:rsidP="00216EB7">
      <w:pPr>
        <w:pStyle w:val="H7"/>
        <w:rPr>
          <w:rFonts w:eastAsia="Arial"/>
          <w:szCs w:val="22"/>
        </w:rPr>
      </w:pPr>
      <w:r>
        <w:t xml:space="preserve">označení osob, které </w:t>
      </w:r>
      <w:r>
        <w:rPr>
          <w:b/>
        </w:rPr>
        <w:t>vědí o porušení</w:t>
      </w:r>
      <w:r>
        <w:t xml:space="preserve"> – pachatelé, svědci, oběti, jiné osoby s relevantními informacemi,</w:t>
      </w:r>
    </w:p>
    <w:p w14:paraId="141D95D6" w14:textId="77777777" w:rsidR="00216EB7" w:rsidRPr="00CD0848" w:rsidRDefault="00216EB7" w:rsidP="00216EB7">
      <w:pPr>
        <w:pStyle w:val="H7"/>
        <w:rPr>
          <w:rFonts w:eastAsia="Arial"/>
          <w:szCs w:val="22"/>
        </w:rPr>
      </w:pPr>
      <w:r>
        <w:t xml:space="preserve">jakékoli dokumenty (v jakémkoli formátu) připojené k oznámení, které v daném případě </w:t>
      </w:r>
      <w:r>
        <w:rPr>
          <w:b/>
        </w:rPr>
        <w:t>mohou představovat důkaz</w:t>
      </w:r>
      <w:r>
        <w:t>.</w:t>
      </w:r>
    </w:p>
    <w:p w14:paraId="4E09E2D8" w14:textId="77777777" w:rsidR="00216EB7" w:rsidRPr="00CD0848" w:rsidRDefault="00216EB7" w:rsidP="00216EB7">
      <w:pPr>
        <w:pStyle w:val="H7"/>
        <w:rPr>
          <w:rFonts w:eastAsia="Arial"/>
          <w:color w:val="auto"/>
          <w:szCs w:val="22"/>
        </w:rPr>
      </w:pPr>
      <w:r>
        <w:t xml:space="preserve">jakékoli </w:t>
      </w:r>
      <w:r>
        <w:rPr>
          <w:b/>
        </w:rPr>
        <w:t>další informace</w:t>
      </w:r>
      <w:r>
        <w:t>, které podporují pravděpodobnost, že došlo k porušení nebo je podezření na porušení, nebo které mohou pomoci při vyšetřování oznámení,</w:t>
      </w:r>
    </w:p>
    <w:p w14:paraId="6C5069D5" w14:textId="77777777" w:rsidR="00216EB7" w:rsidRPr="000E67BB" w:rsidRDefault="00216EB7" w:rsidP="00216EB7">
      <w:pPr>
        <w:pStyle w:val="H7"/>
        <w:rPr>
          <w:rFonts w:eastAsia="Arial"/>
          <w:szCs w:val="22"/>
        </w:rPr>
      </w:pPr>
      <w:r>
        <w:t xml:space="preserve">informace, zda byl problém </w:t>
      </w:r>
      <w:r>
        <w:rPr>
          <w:b/>
        </w:rPr>
        <w:t>oznámen již dříve</w:t>
      </w:r>
      <w:r>
        <w:t xml:space="preserve"> (např. nadřízeným nebo jiným osobám ve společnosti).</w:t>
      </w:r>
    </w:p>
    <w:p w14:paraId="63F909C3" w14:textId="77777777" w:rsidR="00216EB7" w:rsidRDefault="00216EB7" w:rsidP="00216EB7">
      <w:pPr>
        <w:pStyle w:val="H7"/>
        <w:numPr>
          <w:ilvl w:val="0"/>
          <w:numId w:val="0"/>
        </w:numPr>
        <w:ind w:left="1417"/>
        <w:rPr>
          <w:rFonts w:eastAsia="Arial"/>
          <w:szCs w:val="22"/>
        </w:rPr>
      </w:pPr>
    </w:p>
    <w:p w14:paraId="63F86191" w14:textId="77777777" w:rsidR="00216EB7" w:rsidRPr="00A91DB6" w:rsidRDefault="00216EB7" w:rsidP="00216EB7">
      <w:pPr>
        <w:pStyle w:val="H1"/>
        <w:rPr>
          <w:rFonts w:eastAsia="Arial"/>
        </w:rPr>
      </w:pPr>
      <w:bookmarkStart w:id="38" w:name="_Toc208320407"/>
      <w:r w:rsidRPr="00A91DB6">
        <w:t>Co když zašlu OZNÁMENÍ anonymně?</w:t>
      </w:r>
      <w:bookmarkEnd w:id="38"/>
    </w:p>
    <w:p w14:paraId="4AC3EED0" w14:textId="77777777" w:rsidR="00216EB7" w:rsidRPr="0069594D" w:rsidRDefault="00216EB7" w:rsidP="00216EB7">
      <w:pPr>
        <w:pStyle w:val="H2"/>
      </w:pPr>
      <w:bookmarkStart w:id="39" w:name="_Toc208320408"/>
      <w:r>
        <w:t>Společnost přijímá anonymní oznámení, ale vybízí, abyste v oznámení uvedli osobní údaje. Neanonymní oznámení umožňují rychlejší vyšetření a účinnější nápravná opatření, přičemž se dbá na to, aby totožnost oznamovatele zůstala důvěrná.</w:t>
      </w:r>
      <w:bookmarkEnd w:id="39"/>
    </w:p>
    <w:p w14:paraId="59AD740F" w14:textId="77777777" w:rsidR="00216EB7" w:rsidRPr="0069594D" w:rsidRDefault="00216EB7" w:rsidP="00216EB7">
      <w:pPr>
        <w:pStyle w:val="H2"/>
      </w:pPr>
      <w:bookmarkStart w:id="40" w:name="_Toc208320409"/>
      <w:r>
        <w:t>Ačkoli se společnost bude snažit objasnit anonymní oznámení co nejdůkladněji způsobem popsaným v předpisech, oznámení zaslaná zaměstnanci anonymním způsobem (např. dopisem nebo z jiných než podnikových e-mailových adres, což znemožňuje potvrdit, že oznamovatel je zaměstnancem společnosti) mohou vést např. k:</w:t>
      </w:r>
      <w:bookmarkEnd w:id="40"/>
    </w:p>
    <w:p w14:paraId="6E4A3CC3" w14:textId="77777777" w:rsidR="00216EB7" w:rsidRPr="0069594D" w:rsidRDefault="00216EB7" w:rsidP="00216EB7">
      <w:pPr>
        <w:pStyle w:val="H5"/>
        <w:rPr>
          <w:rFonts w:eastAsia="Arial"/>
        </w:rPr>
      </w:pPr>
      <w:r>
        <w:rPr>
          <w:b/>
        </w:rPr>
        <w:t>omezení přesnosti zpětné vazby</w:t>
      </w:r>
      <w:r>
        <w:t xml:space="preserve"> k opatřením podniknutým společností v reakci na oznámení. Smyslem tohoto pravidla je omezit riziko zveřejnění citlivých informací o vyšetřování mimo společnost vzhledem k nemožnosti ověřit, zda je oznamovatel skutečně zaměstnancem společnosti;</w:t>
      </w:r>
    </w:p>
    <w:p w14:paraId="3109F276" w14:textId="77777777" w:rsidR="00216EB7" w:rsidRPr="0069594D" w:rsidRDefault="00216EB7" w:rsidP="00216EB7">
      <w:pPr>
        <w:pStyle w:val="H5"/>
        <w:rPr>
          <w:rFonts w:eastAsia="Arial"/>
        </w:rPr>
      </w:pPr>
      <w:r>
        <w:rPr>
          <w:b/>
        </w:rPr>
        <w:lastRenderedPageBreak/>
        <w:t>neschopnosti zaručit plnou ochranu proti odvetným opatřením</w:t>
      </w:r>
      <w:r>
        <w:t xml:space="preserve"> poskytnutou oznamovatelům vzhledem k nedostatku znalostí o tom, koho chránit (vzhledem k anonymitě oznámení).</w:t>
      </w:r>
    </w:p>
    <w:p w14:paraId="65A768D0" w14:textId="77777777" w:rsidR="00216EB7" w:rsidRPr="0069594D" w:rsidRDefault="00216EB7" w:rsidP="00216EB7">
      <w:pPr>
        <w:pStyle w:val="H2"/>
        <w:rPr>
          <w:rFonts w:eastAsia="Arial"/>
        </w:rPr>
      </w:pPr>
      <w:bookmarkStart w:id="41" w:name="_Toc208320410"/>
      <w:r>
        <w:t>Pokud však v průběhu vyšetřování anonymního oznámení vyjde najevo totožnost oznamovatele nebo se oznamovatel sám přihlásí, bude se s oznamovatelem zacházet jako s </w:t>
      </w:r>
      <w:proofErr w:type="spellStart"/>
      <w:r>
        <w:t>whistleblowerem</w:t>
      </w:r>
      <w:proofErr w:type="spellEnd"/>
      <w:r>
        <w:t xml:space="preserve"> ve smyslu zde stanovených pravidel a má právo na plnou ochranu a úplný přístup ke zpětné vazbě.</w:t>
      </w:r>
      <w:bookmarkEnd w:id="41"/>
      <w:r>
        <w:t xml:space="preserve"> </w:t>
      </w:r>
    </w:p>
    <w:p w14:paraId="626CEC7F" w14:textId="77777777" w:rsidR="00216EB7" w:rsidRDefault="00216EB7" w:rsidP="00216EB7">
      <w:pPr>
        <w:pStyle w:val="H5"/>
        <w:numPr>
          <w:ilvl w:val="0"/>
          <w:numId w:val="0"/>
        </w:numPr>
        <w:rPr>
          <w:rFonts w:eastAsia="Arial"/>
        </w:rPr>
      </w:pPr>
    </w:p>
    <w:p w14:paraId="07B9A46C" w14:textId="77777777" w:rsidR="00216EB7" w:rsidRDefault="00216EB7" w:rsidP="00216EB7">
      <w:pPr>
        <w:pStyle w:val="H1"/>
        <w:rPr>
          <w:rFonts w:eastAsia="Arial"/>
        </w:rPr>
      </w:pPr>
      <w:bookmarkStart w:id="42" w:name="_Toc208320411"/>
      <w:r>
        <w:t>Mám nějaké odpovědnosti po podání oznámení?</w:t>
      </w:r>
      <w:bookmarkEnd w:id="42"/>
    </w:p>
    <w:p w14:paraId="77E5865E" w14:textId="77777777" w:rsidR="00216EB7" w:rsidRDefault="00216EB7" w:rsidP="00216EB7">
      <w:pPr>
        <w:pStyle w:val="text1"/>
      </w:pPr>
      <w:r>
        <w:t>Aby nenarušil proces ověřování a vyšetřování, je zaměstnanec, který podal oznámení, povinen:</w:t>
      </w:r>
    </w:p>
    <w:p w14:paraId="3B60BAC3" w14:textId="77777777" w:rsidR="00216EB7" w:rsidRDefault="00216EB7" w:rsidP="00216EB7">
      <w:pPr>
        <w:pStyle w:val="H5"/>
      </w:pPr>
      <w:r>
        <w:t xml:space="preserve">vést jako </w:t>
      </w:r>
      <w:r>
        <w:rPr>
          <w:b/>
        </w:rPr>
        <w:t>důvěrnou</w:t>
      </w:r>
      <w:r>
        <w:t xml:space="preserve"> skutečnost, že podal oznámení, i veškerou komunikaci a informace obdržené ve vztahu k oznámení a vyšetřování nebo nápravnému procesu,</w:t>
      </w:r>
    </w:p>
    <w:p w14:paraId="08E99300" w14:textId="77777777" w:rsidR="00216EB7" w:rsidRPr="00CD0848" w:rsidRDefault="00216EB7" w:rsidP="00216EB7">
      <w:pPr>
        <w:pStyle w:val="H5"/>
        <w:rPr>
          <w:rFonts w:eastAsia="Arial"/>
        </w:rPr>
      </w:pPr>
      <w:r>
        <w:rPr>
          <w:b/>
        </w:rPr>
        <w:t>pomáhat</w:t>
      </w:r>
      <w:r>
        <w:t xml:space="preserve">, na žádost pracovníka pro dodržování předpisů, v nezbytné míře při ověřování oznámení, </w:t>
      </w:r>
    </w:p>
    <w:p w14:paraId="03B91768" w14:textId="77777777" w:rsidR="00216EB7" w:rsidRDefault="00216EB7" w:rsidP="00216EB7">
      <w:pPr>
        <w:pStyle w:val="text1"/>
        <w:rPr>
          <w:lang w:eastAsia="pl-PL"/>
        </w:rPr>
      </w:pPr>
    </w:p>
    <w:p w14:paraId="6EC3B14B" w14:textId="77777777" w:rsidR="00216EB7" w:rsidRDefault="00216EB7" w:rsidP="00216EB7">
      <w:pPr>
        <w:pStyle w:val="H1"/>
      </w:pPr>
      <w:bookmarkStart w:id="43" w:name="_Toc208320412"/>
      <w:r>
        <w:t>Jak je oznamovatel chráněn?</w:t>
      </w:r>
      <w:bookmarkEnd w:id="43"/>
    </w:p>
    <w:p w14:paraId="64757325" w14:textId="77777777" w:rsidR="00216EB7" w:rsidRPr="00F91C30" w:rsidRDefault="00216EB7" w:rsidP="00216EB7">
      <w:pPr>
        <w:pStyle w:val="H2"/>
        <w:rPr>
          <w:b/>
        </w:rPr>
      </w:pPr>
      <w:bookmarkStart w:id="44" w:name="_Toc208320413"/>
      <w:r>
        <w:rPr>
          <w:b/>
        </w:rPr>
        <w:t>Ochrana a práva oznamovatele</w:t>
      </w:r>
      <w:bookmarkEnd w:id="44"/>
    </w:p>
    <w:p w14:paraId="08CF37AC" w14:textId="77777777" w:rsidR="00216EB7" w:rsidRDefault="00216EB7" w:rsidP="00216EB7">
      <w:pPr>
        <w:pStyle w:val="H2"/>
        <w:numPr>
          <w:ilvl w:val="0"/>
          <w:numId w:val="0"/>
        </w:numPr>
        <w:ind w:left="567"/>
      </w:pPr>
      <w:bookmarkStart w:id="45" w:name="_Toc208320414"/>
      <w:r>
        <w:t>Každému oznamovateli je poskytnuta:</w:t>
      </w:r>
      <w:bookmarkEnd w:id="45"/>
    </w:p>
    <w:p w14:paraId="1097842C" w14:textId="77777777" w:rsidR="00216EB7" w:rsidRDefault="00216EB7" w:rsidP="00216EB7">
      <w:pPr>
        <w:pStyle w:val="H5"/>
      </w:pPr>
      <w:r>
        <w:t xml:space="preserve">ochrana totožnosti a důvěrnosti oznámení, </w:t>
      </w:r>
    </w:p>
    <w:p w14:paraId="1FB658CA" w14:textId="77777777" w:rsidR="00216EB7" w:rsidRDefault="00216EB7" w:rsidP="00216EB7">
      <w:pPr>
        <w:pStyle w:val="H5"/>
      </w:pPr>
      <w:r>
        <w:t>ochrana proti odvetným opatřením,</w:t>
      </w:r>
    </w:p>
    <w:p w14:paraId="3178F7D4" w14:textId="77777777" w:rsidR="00216EB7" w:rsidRDefault="00216EB7" w:rsidP="00216EB7">
      <w:pPr>
        <w:pStyle w:val="H5"/>
      </w:pPr>
      <w:r>
        <w:t>právo na obdržení zpětné vazby k opatřením podniknutým v reakci na oznámení.</w:t>
      </w:r>
    </w:p>
    <w:p w14:paraId="08C84D92" w14:textId="77777777" w:rsidR="00216EB7" w:rsidRPr="0075117D" w:rsidRDefault="00216EB7" w:rsidP="00216EB7">
      <w:pPr>
        <w:pStyle w:val="H2"/>
        <w:rPr>
          <w:b/>
        </w:rPr>
      </w:pPr>
      <w:bookmarkStart w:id="46" w:name="_Toc208320415"/>
      <w:r>
        <w:rPr>
          <w:b/>
        </w:rPr>
        <w:t>Důvěrná povaha oznámení</w:t>
      </w:r>
      <w:bookmarkEnd w:id="46"/>
    </w:p>
    <w:p w14:paraId="07548D72" w14:textId="77777777" w:rsidR="00216EB7" w:rsidRDefault="00216EB7" w:rsidP="00216EB7">
      <w:pPr>
        <w:pStyle w:val="text1"/>
      </w:pPr>
      <w:r>
        <w:t>Všechny osoby provádějící přezkum oznámení povedou jako důvěrnou skutečnost o svém zapojení do procesu přezkumu, stejně jako všechny informace získané v souvislosti s jeho průběhem, včetně zejména totožnosti oznamovatele a osoby, které se oznámení týká, jakož i jiné osobní údaje uvedené v oznámení.</w:t>
      </w:r>
    </w:p>
    <w:p w14:paraId="51C2F2C1" w14:textId="77777777" w:rsidR="00216EB7" w:rsidRDefault="00216EB7" w:rsidP="00216EB7">
      <w:pPr>
        <w:pStyle w:val="text1"/>
      </w:pPr>
      <w:r>
        <w:t xml:space="preserve">Jakékoli údaje identifikující oznamovatele mohou být zveřejněny </w:t>
      </w:r>
      <w:r>
        <w:rPr>
          <w:b/>
        </w:rPr>
        <w:t>výhradně na základě jeho předchozího výslovného souhlasu</w:t>
      </w:r>
      <w:r>
        <w:t xml:space="preserve"> – s výjimkou jejich zveřejnění:</w:t>
      </w:r>
    </w:p>
    <w:p w14:paraId="3EE7B3A0" w14:textId="77777777" w:rsidR="00216EB7" w:rsidRDefault="00216EB7" w:rsidP="00216EB7">
      <w:pPr>
        <w:pStyle w:val="H5"/>
        <w:numPr>
          <w:ilvl w:val="4"/>
          <w:numId w:val="5"/>
        </w:numPr>
      </w:pPr>
      <w:r>
        <w:t>příslušným orgánům, kdy je tato povinnost důsledkem právních předpisů,</w:t>
      </w:r>
    </w:p>
    <w:p w14:paraId="59E2CEF9" w14:textId="77777777" w:rsidR="00216EB7" w:rsidRDefault="00216EB7" w:rsidP="00216EB7">
      <w:pPr>
        <w:pStyle w:val="H5"/>
      </w:pPr>
      <w:r>
        <w:t>jiným osobám jmenovaným pracovníkem pro dodržování předpisů, aby vyšetřovaly oznámení – má-li to klíčový význam pro vyšetřování případu.</w:t>
      </w:r>
    </w:p>
    <w:p w14:paraId="6D2B1C18" w14:textId="77777777" w:rsidR="00216EB7" w:rsidRDefault="00216EB7" w:rsidP="00216EB7">
      <w:pPr>
        <w:pStyle w:val="H5"/>
        <w:numPr>
          <w:ilvl w:val="0"/>
          <w:numId w:val="0"/>
        </w:numPr>
        <w:ind w:left="567"/>
      </w:pPr>
      <w:r>
        <w:t>Porušení závazku důvěrnosti může vést k právní a disciplinární odpovědnosti osoby, která se takového porušení dopustila.</w:t>
      </w:r>
    </w:p>
    <w:p w14:paraId="29E1A54E" w14:textId="77777777" w:rsidR="00216EB7" w:rsidRPr="00F91C30" w:rsidRDefault="00216EB7" w:rsidP="00216EB7">
      <w:pPr>
        <w:pStyle w:val="H2"/>
        <w:rPr>
          <w:b/>
        </w:rPr>
      </w:pPr>
      <w:bookmarkStart w:id="47" w:name="_Toc208320416"/>
      <w:r>
        <w:rPr>
          <w:b/>
        </w:rPr>
        <w:t>Ochrana proti odvetným opatřením</w:t>
      </w:r>
      <w:bookmarkEnd w:id="47"/>
    </w:p>
    <w:p w14:paraId="508F5A0E" w14:textId="77777777" w:rsidR="00216EB7" w:rsidRDefault="00216EB7" w:rsidP="00216EB7">
      <w:pPr>
        <w:pStyle w:val="text1"/>
      </w:pPr>
      <w:r>
        <w:lastRenderedPageBreak/>
        <w:t>Je zakázáno podnikat jakákoli odvetná opatření proti oznamovateli. Tato ochrana se vztahuje také na prostředníky, kteří pomáhají oznamovateli během procesu oznámení, a jiné osoby ve vztahu k oznamovateli, tj. rodinu, příbuzné a blízké osoby.</w:t>
      </w:r>
    </w:p>
    <w:p w14:paraId="267EB82F" w14:textId="77777777" w:rsidR="00216EB7" w:rsidRDefault="00216EB7" w:rsidP="00216EB7">
      <w:pPr>
        <w:pStyle w:val="text1"/>
      </w:pPr>
      <w:r>
        <w:t>Jakákoli nepřímá odvetná opatření proti právnické osobě, kterou oznamovatel vlastní, pro kterou pracuje nebo s níž je jinak ve spojení, jsou také společností zakázána. K těmto nepřímým opatřením patří mimo jiné: odepření služeb, zařazení na černou listinu nebo bojkotování podnikání.</w:t>
      </w:r>
    </w:p>
    <w:p w14:paraId="666CA888" w14:textId="77777777" w:rsidR="00216EB7" w:rsidRDefault="00216EB7" w:rsidP="00216EB7">
      <w:pPr>
        <w:pStyle w:val="text1"/>
      </w:pPr>
      <w:r>
        <w:t>Jakýkoli zaměstnanec, který zažije nebo ví o jakémkoli odvetném opatření, je musí neprodleně oznámit stejným způsobem, jakým se oznamují porušení práva.</w:t>
      </w:r>
    </w:p>
    <w:p w14:paraId="718A51DB" w14:textId="77777777" w:rsidR="00216EB7" w:rsidRPr="00DA259A" w:rsidRDefault="00216EB7" w:rsidP="00216EB7">
      <w:pPr>
        <w:pStyle w:val="H2"/>
        <w:rPr>
          <w:b/>
        </w:rPr>
      </w:pPr>
      <w:bookmarkStart w:id="48" w:name="_Toc208320417"/>
      <w:r>
        <w:rPr>
          <w:b/>
        </w:rPr>
        <w:t>Zpětná vazba</w:t>
      </w:r>
      <w:bookmarkEnd w:id="48"/>
      <w:r>
        <w:rPr>
          <w:b/>
        </w:rPr>
        <w:t xml:space="preserve"> </w:t>
      </w:r>
    </w:p>
    <w:p w14:paraId="62732057" w14:textId="77777777" w:rsidR="00216EB7" w:rsidRDefault="00216EB7" w:rsidP="00216EB7">
      <w:pPr>
        <w:pStyle w:val="text1"/>
      </w:pPr>
      <w:r>
        <w:t xml:space="preserve">Pokud bylo oznámení podáno v souladu s těmito předpisy, včetně toho, že není anonymní, bude oznamovatel informován o: </w:t>
      </w:r>
    </w:p>
    <w:p w14:paraId="75AC8517" w14:textId="77777777" w:rsidR="00216EB7" w:rsidRDefault="00216EB7" w:rsidP="00216EB7">
      <w:pPr>
        <w:pStyle w:val="H7"/>
      </w:pPr>
      <w:r>
        <w:rPr>
          <w:b/>
        </w:rPr>
        <w:t>přijetí oznámení k dalšímu zvážení nebo jeho zamítnutí</w:t>
      </w:r>
      <w:r>
        <w:t xml:space="preserve"> – maximálně do 7 dnů od obdržení oznámení,</w:t>
      </w:r>
    </w:p>
    <w:p w14:paraId="767ABB3D" w14:textId="0C0B0051" w:rsidR="00216EB7" w:rsidRDefault="00216EB7" w:rsidP="00216EB7">
      <w:pPr>
        <w:pStyle w:val="H7"/>
      </w:pPr>
      <w:r>
        <w:rPr>
          <w:b/>
        </w:rPr>
        <w:t>výsledku řízení</w:t>
      </w:r>
      <w:r>
        <w:t xml:space="preserve"> (tj. zda bylo identifikováno porušení práva) a následných opatřeních plánovaných nebo již realizovaných (tj. opatřeních přijatých v důsledku oznámení) – v přiměřené lhůtě</w:t>
      </w:r>
      <w:r w:rsidR="00967C8B">
        <w:t xml:space="preserve">, nejdéle do </w:t>
      </w:r>
      <w:r>
        <w:t>3 měsíc</w:t>
      </w:r>
      <w:r w:rsidR="00967C8B">
        <w:t>ů</w:t>
      </w:r>
      <w:r>
        <w:t xml:space="preserve"> od potvrzení o přijetí oznámení nebo uplynutí lhůty pro potvrzení o jeho přijetí.</w:t>
      </w:r>
    </w:p>
    <w:p w14:paraId="5D6E04FA" w14:textId="77777777" w:rsidR="00216EB7" w:rsidRPr="00F91C30" w:rsidRDefault="00216EB7" w:rsidP="00216EB7">
      <w:pPr>
        <w:pStyle w:val="text1"/>
      </w:pPr>
      <w:r>
        <w:t xml:space="preserve">Zpětná vazba bude standardně zaslána na e-mailovou adresu, ze které bylo oznámení odesláno. V případě jiných oznamovacích kanálů může oznamovatel vždy uvést, jak chce obdržet zpětnou vazbu (např. uvést svou preferovanou e-mailovou adresu).  </w:t>
      </w:r>
    </w:p>
    <w:p w14:paraId="60C1C15C" w14:textId="77777777" w:rsidR="00216EB7" w:rsidRDefault="00216EB7" w:rsidP="00216EB7">
      <w:pPr>
        <w:pStyle w:val="text1xxx"/>
        <w:ind w:left="0"/>
        <w:rPr>
          <w:lang w:eastAsia="pl-PL"/>
        </w:rPr>
      </w:pPr>
    </w:p>
    <w:p w14:paraId="0423DEC3" w14:textId="77777777" w:rsidR="00216EB7" w:rsidRDefault="00216EB7" w:rsidP="00216EB7">
      <w:pPr>
        <w:pStyle w:val="H1"/>
      </w:pPr>
      <w:bookmarkStart w:id="49" w:name="_Toc208320418"/>
      <w:r>
        <w:t>Jak se oznámení zpracuje?</w:t>
      </w:r>
      <w:bookmarkEnd w:id="49"/>
    </w:p>
    <w:p w14:paraId="6F258760" w14:textId="77777777" w:rsidR="00216EB7" w:rsidRDefault="00216EB7" w:rsidP="00216EB7">
      <w:pPr>
        <w:pStyle w:val="H2"/>
        <w:rPr>
          <w:b/>
        </w:rPr>
      </w:pPr>
      <w:bookmarkStart w:id="50" w:name="_Toc208320419"/>
      <w:r>
        <w:rPr>
          <w:b/>
        </w:rPr>
        <w:t>Počáteční ověření oznámení</w:t>
      </w:r>
      <w:bookmarkEnd w:id="50"/>
    </w:p>
    <w:p w14:paraId="0DC751FC" w14:textId="77777777" w:rsidR="00216EB7" w:rsidRDefault="00216EB7" w:rsidP="00216EB7">
      <w:pPr>
        <w:pStyle w:val="text1x"/>
      </w:pPr>
      <w:r>
        <w:t>Do 7 dnů od přijetí provede pracovník pro dodržování předpisů počáteční ověření oznámení:</w:t>
      </w:r>
    </w:p>
    <w:p w14:paraId="32A0D770" w14:textId="77777777" w:rsidR="00216EB7" w:rsidRPr="003F7898" w:rsidRDefault="00216EB7" w:rsidP="00216EB7">
      <w:pPr>
        <w:pStyle w:val="H7"/>
      </w:pPr>
      <w:r>
        <w:t>ujistí se, že oznámení obsahuje všechny informace nezbytné pro jeho zpracování. Pokud si povšimne významných opomenutí, kontaktuje oznamovatele, pokud nebylo oznámení podáno anonymně a oznamovatel neznemožnil své kontaktování;</w:t>
      </w:r>
    </w:p>
    <w:p w14:paraId="5F75A194" w14:textId="77777777" w:rsidR="00216EB7" w:rsidRDefault="00216EB7" w:rsidP="00216EB7">
      <w:pPr>
        <w:pStyle w:val="H7"/>
      </w:pPr>
      <w:r>
        <w:t xml:space="preserve">určí, zda může oznámený případ představovat porušení ve smyslu těchto předpisů; </w:t>
      </w:r>
    </w:p>
    <w:p w14:paraId="3EC485F4" w14:textId="77777777" w:rsidR="00216EB7" w:rsidRDefault="00216EB7" w:rsidP="00216EB7">
      <w:pPr>
        <w:pStyle w:val="H7"/>
      </w:pPr>
      <w:r>
        <w:t>posoudí závažnost důsledků oznámeného porušení z hlediska zájmů společnosti a zaměstnanců.</w:t>
      </w:r>
    </w:p>
    <w:p w14:paraId="1453BDA8" w14:textId="77777777" w:rsidR="00216EB7" w:rsidRPr="00050E1D" w:rsidRDefault="00216EB7" w:rsidP="00216EB7">
      <w:pPr>
        <w:pStyle w:val="H2"/>
        <w:rPr>
          <w:rFonts w:eastAsia="Calibri"/>
          <w:b/>
        </w:rPr>
      </w:pPr>
      <w:bookmarkStart w:id="51" w:name="_Toc208320420"/>
      <w:r>
        <w:rPr>
          <w:b/>
        </w:rPr>
        <w:t>Potvrzení o přijetí oznámení</w:t>
      </w:r>
      <w:bookmarkEnd w:id="51"/>
    </w:p>
    <w:p w14:paraId="6B9F8B9A" w14:textId="77777777" w:rsidR="00216EB7" w:rsidRDefault="00216EB7" w:rsidP="00216EB7">
      <w:pPr>
        <w:pStyle w:val="H5"/>
        <w:numPr>
          <w:ilvl w:val="0"/>
          <w:numId w:val="0"/>
        </w:numPr>
        <w:ind w:left="567"/>
        <w:rPr>
          <w:rFonts w:eastAsia="Calibri"/>
        </w:rPr>
      </w:pPr>
      <w:r>
        <w:t>Pracovník pro dodržování předpisů:</w:t>
      </w:r>
    </w:p>
    <w:p w14:paraId="62BB8E47" w14:textId="77777777" w:rsidR="00216EB7" w:rsidRDefault="00216EB7" w:rsidP="00216EB7">
      <w:pPr>
        <w:pStyle w:val="H7"/>
        <w:rPr>
          <w:rFonts w:eastAsia="Calibri"/>
        </w:rPr>
      </w:pPr>
      <w:r>
        <w:t xml:space="preserve">Bezprostředně po počátečním ověření oznámení, </w:t>
      </w:r>
    </w:p>
    <w:p w14:paraId="504E1308" w14:textId="77777777" w:rsidR="00216EB7" w:rsidRDefault="00216EB7" w:rsidP="00216EB7">
      <w:pPr>
        <w:pStyle w:val="H7"/>
        <w:rPr>
          <w:rFonts w:eastAsia="Calibri"/>
          <w:szCs w:val="22"/>
        </w:rPr>
      </w:pPr>
      <w:r>
        <w:t xml:space="preserve">a </w:t>
      </w:r>
      <w:r>
        <w:rPr>
          <w:b/>
        </w:rPr>
        <w:t>nikdy</w:t>
      </w:r>
      <w:r>
        <w:t xml:space="preserve"> později než do </w:t>
      </w:r>
      <w:r>
        <w:rPr>
          <w:b/>
        </w:rPr>
        <w:t>7 dnů</w:t>
      </w:r>
      <w:r>
        <w:t xml:space="preserve"> od přijetí, </w:t>
      </w:r>
    </w:p>
    <w:p w14:paraId="5E3D008E" w14:textId="77777777" w:rsidR="00216EB7" w:rsidRDefault="00216EB7" w:rsidP="00216EB7">
      <w:pPr>
        <w:pStyle w:val="H5"/>
        <w:numPr>
          <w:ilvl w:val="0"/>
          <w:numId w:val="0"/>
        </w:numPr>
        <w:ind w:left="567"/>
        <w:rPr>
          <w:rFonts w:eastAsia="Calibri"/>
          <w:szCs w:val="22"/>
        </w:rPr>
      </w:pPr>
      <w:r>
        <w:t>informuje oznamovatele o:</w:t>
      </w:r>
    </w:p>
    <w:p w14:paraId="654B41F1" w14:textId="77777777" w:rsidR="00216EB7" w:rsidRDefault="00216EB7" w:rsidP="00216EB7">
      <w:pPr>
        <w:pStyle w:val="H7"/>
        <w:rPr>
          <w:rFonts w:eastAsia="Calibri"/>
        </w:rPr>
      </w:pPr>
      <w:r>
        <w:lastRenderedPageBreak/>
        <w:t>přijetí oznámení; nebo</w:t>
      </w:r>
    </w:p>
    <w:p w14:paraId="132DAC25" w14:textId="77777777" w:rsidR="00216EB7" w:rsidRDefault="00216EB7" w:rsidP="00216EB7">
      <w:pPr>
        <w:pStyle w:val="H7"/>
        <w:rPr>
          <w:rFonts w:eastAsia="Calibri"/>
        </w:rPr>
      </w:pPr>
      <w:r>
        <w:t>zamítnutí oznámení, je-li považováno za zjevně nedůvodné;</w:t>
      </w:r>
    </w:p>
    <w:p w14:paraId="5A31C901" w14:textId="77777777" w:rsidR="00216EB7" w:rsidRDefault="00216EB7" w:rsidP="00216EB7">
      <w:pPr>
        <w:pStyle w:val="H5"/>
        <w:numPr>
          <w:ilvl w:val="0"/>
          <w:numId w:val="0"/>
        </w:numPr>
        <w:ind w:left="567"/>
      </w:pPr>
      <w:r>
        <w:t>pokud oznámení nebylo podáno anonymně a oznamovatel neznemožnil komunikaci se sebou;</w:t>
      </w:r>
    </w:p>
    <w:p w14:paraId="42F902BB" w14:textId="77777777" w:rsidR="00216EB7" w:rsidRDefault="00216EB7" w:rsidP="00216EB7">
      <w:pPr>
        <w:pStyle w:val="H2"/>
        <w:rPr>
          <w:b/>
        </w:rPr>
      </w:pPr>
      <w:bookmarkStart w:id="52" w:name="_Toc208320421"/>
      <w:r>
        <w:rPr>
          <w:b/>
        </w:rPr>
        <w:t>Zpracování jednotlivých zaměstnaneckých případů</w:t>
      </w:r>
      <w:bookmarkEnd w:id="52"/>
    </w:p>
    <w:p w14:paraId="65EA91D4" w14:textId="77777777" w:rsidR="00216EB7" w:rsidRDefault="00216EB7" w:rsidP="00216EB7">
      <w:pPr>
        <w:pStyle w:val="text1x"/>
      </w:pPr>
      <w:r>
        <w:t xml:space="preserve">V případě, že se oznámení týká jednotlivých porušení práv a zájmů zaměstnance, která nepředstavují porušení práva (např. špatné vztahy mezi kolegy, drobné neshody), pracovník pro dodržování předpisů postoupí oznámení oddělení lidských zdrojů k dalšímu zpracování v souladu s politikou proti šikaně. </w:t>
      </w:r>
      <w:r>
        <w:rPr>
          <w:b/>
        </w:rPr>
        <w:t>To vylučuje další zpracování záležitosti popsané v těchto předpisech</w:t>
      </w:r>
      <w:r>
        <w:t xml:space="preserve"> a oznamující osobě nebude přiznán status oznamovatele.</w:t>
      </w:r>
    </w:p>
    <w:p w14:paraId="72E9604F" w14:textId="77777777" w:rsidR="00216EB7" w:rsidRDefault="00216EB7" w:rsidP="00216EB7">
      <w:pPr>
        <w:pStyle w:val="H5"/>
        <w:numPr>
          <w:ilvl w:val="0"/>
          <w:numId w:val="0"/>
        </w:numPr>
        <w:ind w:left="567"/>
      </w:pPr>
    </w:p>
    <w:p w14:paraId="7E209EEC" w14:textId="77777777" w:rsidR="00216EB7" w:rsidRDefault="00216EB7" w:rsidP="00216EB7">
      <w:pPr>
        <w:pStyle w:val="H1"/>
      </w:pPr>
      <w:bookmarkStart w:id="53" w:name="_Toc208320422"/>
      <w:r>
        <w:t>Jaká zpětná vazba je poskytnuta oznamovateli?</w:t>
      </w:r>
      <w:bookmarkEnd w:id="53"/>
    </w:p>
    <w:p w14:paraId="447DB70D" w14:textId="77777777" w:rsidR="00216EB7" w:rsidRDefault="00216EB7" w:rsidP="00216EB7">
      <w:pPr>
        <w:pStyle w:val="text1"/>
      </w:pPr>
      <w:r>
        <w:t xml:space="preserve">Bez ohledu na postup práce při vyšetřování porušení nebo provádění nápravných opatření – </w:t>
      </w:r>
      <w:r>
        <w:rPr>
          <w:b/>
        </w:rPr>
        <w:t>v přiměřené lhůtě</w:t>
      </w:r>
      <w:r>
        <w:t xml:space="preserve">, nepřekračující </w:t>
      </w:r>
      <w:r>
        <w:rPr>
          <w:b/>
        </w:rPr>
        <w:t>3 měsíce</w:t>
      </w:r>
      <w:r>
        <w:t xml:space="preserve"> od přijetí oznámení – musí pracovník pro dodržování předpisů poskytnout oznamovateli zpětnou vazbu k podniknutým opatřením.</w:t>
      </w:r>
    </w:p>
    <w:p w14:paraId="25E4362E" w14:textId="77777777" w:rsidR="00216EB7" w:rsidRDefault="00216EB7" w:rsidP="00216EB7">
      <w:pPr>
        <w:pStyle w:val="text1"/>
      </w:pPr>
      <w:r>
        <w:t>Obsah zpětné vazby schválí a zašle pracovník pro dodržování předpisů v každém jednotlivém případě a musí zahrnovat minimálně:</w:t>
      </w:r>
    </w:p>
    <w:p w14:paraId="3EFF4EFD" w14:textId="77777777" w:rsidR="00216EB7" w:rsidRDefault="00216EB7" w:rsidP="00216EB7">
      <w:pPr>
        <w:pStyle w:val="H5"/>
      </w:pPr>
      <w:r>
        <w:t xml:space="preserve">zda bylo zjištěno porušení; </w:t>
      </w:r>
    </w:p>
    <w:p w14:paraId="6386164D" w14:textId="77777777" w:rsidR="00216EB7" w:rsidRDefault="00216EB7" w:rsidP="00216EB7">
      <w:pPr>
        <w:pStyle w:val="H5"/>
      </w:pPr>
      <w:r>
        <w:t>opatření, která byla nebo budou podniknuta v reakci na identifikované porušení.</w:t>
      </w:r>
    </w:p>
    <w:p w14:paraId="2A12725F" w14:textId="77777777" w:rsidR="00216EB7" w:rsidRDefault="00216EB7" w:rsidP="00216EB7">
      <w:pPr>
        <w:pStyle w:val="text1"/>
      </w:pPr>
      <w:r>
        <w:t xml:space="preserve">Při vypracovávání obsahu informací zohlední pracovník pro dodržování předpisů, že při poskytování zpětné vazby </w:t>
      </w:r>
      <w:r>
        <w:rPr>
          <w:b/>
        </w:rPr>
        <w:t>nesmí zveřejnit citlivé ani důvěrné informace o jednotlivcích podílejících se na porušení ani jiné informace o skupině nebo společnosti</w:t>
      </w:r>
      <w:r>
        <w:t>, které by mohly být nevhodně použity, zejména pokud budou zveřejněny mimo organizaci. Obsah informací může zahrnovat poučení oznamovatele, aby zachoval důvěrnou povahu poskytnuté zpětné vazby.</w:t>
      </w:r>
    </w:p>
    <w:p w14:paraId="20BA7DA8" w14:textId="77777777" w:rsidR="00216EB7" w:rsidRDefault="00216EB7" w:rsidP="00216EB7">
      <w:pPr>
        <w:pStyle w:val="text1"/>
      </w:pPr>
      <w:r>
        <w:t xml:space="preserve">V případě </w:t>
      </w:r>
      <w:r>
        <w:rPr>
          <w:b/>
        </w:rPr>
        <w:t>anonymních oznámení není poskytnutí těchto informací vyžadováno</w:t>
      </w:r>
      <w:r>
        <w:t>. Pokud se však k tomu naskytne příležitost (např. odepsáním na e-mailovou nebo poštovní kontaktní adresu), může pracovník pro dodržování předpisů zvážit zformulování stručné komunikace, která však musí zajistit maximální bezpečnost pro organizaci a osoby spojené s vyšetřováním, vzhledem k nedostatku poznatků o totožnosti oznamovatele.</w:t>
      </w:r>
    </w:p>
    <w:p w14:paraId="2D735306" w14:textId="77777777" w:rsidR="00216EB7" w:rsidRDefault="00216EB7" w:rsidP="00216EB7">
      <w:pPr>
        <w:pStyle w:val="H5"/>
        <w:numPr>
          <w:ilvl w:val="0"/>
          <w:numId w:val="0"/>
        </w:numPr>
        <w:ind w:left="567"/>
      </w:pPr>
    </w:p>
    <w:p w14:paraId="3C44E179" w14:textId="77777777" w:rsidR="00216EB7" w:rsidRPr="00A60EDC" w:rsidRDefault="00216EB7" w:rsidP="00216EB7">
      <w:pPr>
        <w:pStyle w:val="H1"/>
      </w:pPr>
      <w:bookmarkStart w:id="54" w:name="_Toc208320423"/>
      <w:r>
        <w:t>Jaký je postup vyšetřování a řešení záležitosti?</w:t>
      </w:r>
      <w:bookmarkEnd w:id="54"/>
    </w:p>
    <w:p w14:paraId="398AC60F" w14:textId="77777777" w:rsidR="00216EB7" w:rsidRDefault="00216EB7" w:rsidP="00216EB7">
      <w:pPr>
        <w:pStyle w:val="H2"/>
        <w:rPr>
          <w:b/>
        </w:rPr>
      </w:pPr>
      <w:bookmarkStart w:id="55" w:name="_Toc208320424"/>
      <w:r>
        <w:rPr>
          <w:b/>
        </w:rPr>
        <w:t>Jmenování osob pomáhajících při vyšetřování oznámení</w:t>
      </w:r>
      <w:bookmarkEnd w:id="55"/>
    </w:p>
    <w:p w14:paraId="1BDD04E5" w14:textId="77777777" w:rsidR="00216EB7" w:rsidRPr="00DE60C6" w:rsidRDefault="00216EB7" w:rsidP="00216EB7">
      <w:pPr>
        <w:pStyle w:val="text1x"/>
      </w:pPr>
      <w:r>
        <w:t>Pracovník pro dodržování předpisů může zřídit tým pro vyšetření oznámení tvořený osobami s příslušnými znalostmi a zkušenostmi, které mohou pomoci při účinném vyšetření oznámení. K těmto osobám mohou patřit zaměstnanci společnosti i externí poradci nebo právníci skupiny.</w:t>
      </w:r>
    </w:p>
    <w:p w14:paraId="091177B2" w14:textId="77777777" w:rsidR="00216EB7" w:rsidRPr="00140AD8" w:rsidRDefault="00216EB7" w:rsidP="00216EB7">
      <w:pPr>
        <w:pStyle w:val="H7"/>
        <w:numPr>
          <w:ilvl w:val="0"/>
          <w:numId w:val="0"/>
        </w:numPr>
        <w:ind w:left="567"/>
      </w:pPr>
      <w:r>
        <w:t xml:space="preserve">Při výběru těchto osob dbá pracovník pro dodržování předpisů na to, aby byly nestranné a neměly žádné spojení s oznámeným případem. Než bude jakákoli osoba připuštěna k případu, </w:t>
      </w:r>
      <w:r>
        <w:lastRenderedPageBreak/>
        <w:t xml:space="preserve">musí podepsat </w:t>
      </w:r>
      <w:r>
        <w:rPr>
          <w:b/>
        </w:rPr>
        <w:t>oprávnění a prohlášení</w:t>
      </w:r>
      <w:r>
        <w:t>, kde souhlasí, že zachová důvěrnou povahu údajů o oznamovateli a jiných informací souvisejících s oznámením.</w:t>
      </w:r>
    </w:p>
    <w:p w14:paraId="7E29AB78" w14:textId="77777777" w:rsidR="00216EB7" w:rsidRDefault="00216EB7" w:rsidP="00216EB7">
      <w:pPr>
        <w:pStyle w:val="H2"/>
        <w:rPr>
          <w:b/>
        </w:rPr>
      </w:pPr>
      <w:bookmarkStart w:id="56" w:name="_Toc208320425"/>
      <w:r>
        <w:rPr>
          <w:b/>
        </w:rPr>
        <w:t>Postup vyšetřování</w:t>
      </w:r>
      <w:bookmarkEnd w:id="56"/>
      <w:r>
        <w:rPr>
          <w:b/>
        </w:rPr>
        <w:t xml:space="preserve"> </w:t>
      </w:r>
    </w:p>
    <w:p w14:paraId="1FA4298F" w14:textId="77777777" w:rsidR="00216EB7" w:rsidRDefault="00216EB7" w:rsidP="00216EB7">
      <w:pPr>
        <w:pStyle w:val="text1"/>
      </w:pPr>
      <w:r>
        <w:t>Pracovník pro dodržování předpisů podniká opatření s cílem vyšetřit případ, přičemž může např.:</w:t>
      </w:r>
    </w:p>
    <w:p w14:paraId="77DB1C4D" w14:textId="77777777" w:rsidR="00216EB7" w:rsidRDefault="00216EB7" w:rsidP="00216EB7">
      <w:pPr>
        <w:pStyle w:val="H5"/>
      </w:pPr>
      <w:r>
        <w:t>požadovat doplňující informace od oznamovatele;</w:t>
      </w:r>
    </w:p>
    <w:p w14:paraId="2BD9AF82" w14:textId="77777777" w:rsidR="00216EB7" w:rsidRDefault="00216EB7" w:rsidP="00216EB7">
      <w:pPr>
        <w:pStyle w:val="H5"/>
      </w:pPr>
      <w:r>
        <w:t>požadovat doplňující informace od jiných zaměstnanců, s výhradou jakýchkoli požadavků na důvěrnou povahu popsaných v těchto předpisech;</w:t>
      </w:r>
    </w:p>
    <w:p w14:paraId="592ED9AE" w14:textId="77777777" w:rsidR="00216EB7" w:rsidRDefault="00216EB7" w:rsidP="00216EB7">
      <w:pPr>
        <w:pStyle w:val="H5"/>
      </w:pPr>
      <w:r>
        <w:t>požadovat objasnění od osoby nebo osob uvedených v oznámení, přičemž dodrží všechny požadavky na důvěrnou povahu popsané v těchto předpisech;</w:t>
      </w:r>
    </w:p>
    <w:p w14:paraId="7561BEAD" w14:textId="77777777" w:rsidR="00216EB7" w:rsidRDefault="00216EB7" w:rsidP="00216EB7">
      <w:pPr>
        <w:pStyle w:val="text1xxx"/>
        <w:ind w:left="567"/>
      </w:pPr>
      <w:r>
        <w:t>Všechna opatření podniknutá při vyšetřování jsou důvěrná a povinnost důvěrnosti mají všichni členové vyšetřovacího týmu.</w:t>
      </w:r>
    </w:p>
    <w:p w14:paraId="41DCE437" w14:textId="77777777" w:rsidR="00216EB7" w:rsidRDefault="00216EB7" w:rsidP="00216EB7">
      <w:pPr>
        <w:pStyle w:val="H2"/>
        <w:rPr>
          <w:b/>
        </w:rPr>
      </w:pPr>
      <w:bookmarkStart w:id="57" w:name="_Toc208320426"/>
      <w:r>
        <w:rPr>
          <w:b/>
        </w:rPr>
        <w:t>Řešení a nápravná opatření</w:t>
      </w:r>
      <w:bookmarkEnd w:id="57"/>
    </w:p>
    <w:p w14:paraId="522BE513" w14:textId="77777777" w:rsidR="00216EB7" w:rsidRDefault="00216EB7" w:rsidP="00216EB7">
      <w:pPr>
        <w:pStyle w:val="text1x"/>
      </w:pPr>
      <w:r>
        <w:t>Je-li to odůvodněno výsledkem prováděného vyšetřování, vypracuje pracovník pro dodržování předpisů návrh řešení a nápravných opatření (nebo ho nechá vypracovat) a postoupí ho příslušným osobám nebo organizačním jednotkám k provedení.</w:t>
      </w:r>
    </w:p>
    <w:p w14:paraId="78FFF499" w14:textId="77777777" w:rsidR="00216EB7" w:rsidRDefault="00216EB7" w:rsidP="00216EB7">
      <w:pPr>
        <w:pStyle w:val="text1x"/>
      </w:pPr>
      <w:r>
        <w:t>Řešení a nápravná opatření zahrnují všechny aktivity s cílem eliminovat porušení a jejich důsledky, včetně minimalizace právních a finančních rizik a rizik pro obraz společnosti a skupiny. Mohou sem patřit opatření jako:</w:t>
      </w:r>
    </w:p>
    <w:p w14:paraId="0E57849A" w14:textId="77777777" w:rsidR="00216EB7" w:rsidRDefault="00216EB7" w:rsidP="00216EB7">
      <w:pPr>
        <w:pStyle w:val="H5"/>
      </w:pPr>
      <w:r>
        <w:t>zahájení disciplinárního nebo jiného vhodného řízení proti zaměstnanci, který se dopustil porušení,</w:t>
      </w:r>
    </w:p>
    <w:p w14:paraId="4E86B487" w14:textId="77777777" w:rsidR="00216EB7" w:rsidRDefault="00216EB7" w:rsidP="00216EB7">
      <w:pPr>
        <w:pStyle w:val="H5"/>
      </w:pPr>
      <w:r>
        <w:t>změna stávajících postupů, aby v budoucnu nedošlo k opakování,</w:t>
      </w:r>
    </w:p>
    <w:p w14:paraId="20C87BCE" w14:textId="77777777" w:rsidR="00216EB7" w:rsidRDefault="00216EB7" w:rsidP="00216EB7">
      <w:pPr>
        <w:pStyle w:val="H5"/>
      </w:pPr>
      <w:r>
        <w:t>provedení dodatečných vzdělávacích nebo školicích aktivit,</w:t>
      </w:r>
    </w:p>
    <w:p w14:paraId="464262BB" w14:textId="77777777" w:rsidR="00216EB7" w:rsidRDefault="00216EB7" w:rsidP="00216EB7">
      <w:pPr>
        <w:pStyle w:val="H5"/>
      </w:pPr>
      <w:r>
        <w:t>zvýšení frekvence auditů v dané oblasti,</w:t>
      </w:r>
    </w:p>
    <w:p w14:paraId="7BD2720D" w14:textId="77777777" w:rsidR="00216EB7" w:rsidRDefault="00216EB7" w:rsidP="00216EB7">
      <w:pPr>
        <w:pStyle w:val="H5"/>
      </w:pPr>
      <w:r>
        <w:t>provedení strukturálních změn nebo převedení pravomocí,</w:t>
      </w:r>
    </w:p>
    <w:p w14:paraId="536E5FEC" w14:textId="77777777" w:rsidR="00216EB7" w:rsidRDefault="00216EB7" w:rsidP="00216EB7">
      <w:pPr>
        <w:pStyle w:val="H5"/>
      </w:pPr>
      <w:r>
        <w:t>podniknutí vhodných právních opatření, včetně zahájení soudního řízení.</w:t>
      </w:r>
    </w:p>
    <w:p w14:paraId="4C62BCAC" w14:textId="77777777" w:rsidR="00216EB7" w:rsidRDefault="00216EB7" w:rsidP="00216EB7">
      <w:pPr>
        <w:pStyle w:val="H5"/>
        <w:numPr>
          <w:ilvl w:val="0"/>
          <w:numId w:val="0"/>
        </w:numPr>
        <w:ind w:left="567"/>
      </w:pPr>
      <w:r>
        <w:t xml:space="preserve">Plán opatření definuje specifická rizika, přiřazuje odpovědnost za dokončení úkolů konkrétním zaměstnancům nebo oddělením a stanoví lhůtu pro jejich dokončení. </w:t>
      </w:r>
    </w:p>
    <w:p w14:paraId="02ECE775" w14:textId="77777777" w:rsidR="00216EB7" w:rsidRDefault="00216EB7" w:rsidP="00216EB7">
      <w:pPr>
        <w:pStyle w:val="H5"/>
        <w:numPr>
          <w:ilvl w:val="0"/>
          <w:numId w:val="0"/>
        </w:numPr>
        <w:ind w:left="567"/>
      </w:pPr>
      <w:r>
        <w:t>Pokud navrhované nápravné opatření vyžaduje rozhodnutí ze strany představenstva společnosti, pracovník pro dodržování předpisů předloží plán nápravných opatření ke schválení, s výhradou požadavků na důvěrnou povahu, popsaných v tomto dokumentu.</w:t>
      </w:r>
    </w:p>
    <w:p w14:paraId="5578263B" w14:textId="77777777" w:rsidR="00216EB7" w:rsidRPr="004A0108" w:rsidRDefault="00216EB7" w:rsidP="00216EB7">
      <w:pPr>
        <w:pStyle w:val="H2"/>
        <w:rPr>
          <w:b/>
        </w:rPr>
      </w:pPr>
      <w:bookmarkStart w:id="58" w:name="_Toc208320427"/>
      <w:r>
        <w:rPr>
          <w:b/>
        </w:rPr>
        <w:t>Dokumentace řízení</w:t>
      </w:r>
      <w:bookmarkEnd w:id="58"/>
    </w:p>
    <w:p w14:paraId="7D5F7E26" w14:textId="77777777" w:rsidR="00216EB7" w:rsidRDefault="00216EB7" w:rsidP="00216EB7">
      <w:pPr>
        <w:pStyle w:val="H2"/>
        <w:numPr>
          <w:ilvl w:val="0"/>
          <w:numId w:val="0"/>
        </w:numPr>
        <w:ind w:left="567"/>
        <w:rPr>
          <w:b/>
        </w:rPr>
      </w:pPr>
      <w:bookmarkStart w:id="59" w:name="_Toc208320428"/>
      <w:r>
        <w:t>Všechny aktivity relevantní pro spravedlivé vyšetřování se musí zdokumentovat (zprávy, záznamové listy, e-mailová korespondence, poznámky z pohovorů, poznámky z porad vyšetřovacího týmu atd.) a vložit do registru. Všechny dokumenty týkající se aktivit vyšetřování jsou přísně důvěrné a osoby, které tyto dokumenty vytvářejí, jsou po jejich vložení do registru a uzavření případu povinné trvale odstranit tuto dokumentaci ze svých zdrojů.</w:t>
      </w:r>
      <w:bookmarkEnd w:id="59"/>
    </w:p>
    <w:p w14:paraId="53776B0B" w14:textId="77777777" w:rsidR="00216EB7" w:rsidRDefault="00216EB7" w:rsidP="00216EB7">
      <w:pPr>
        <w:pStyle w:val="H2"/>
        <w:rPr>
          <w:b/>
        </w:rPr>
      </w:pPr>
      <w:bookmarkStart w:id="60" w:name="_Toc208320429"/>
      <w:r>
        <w:rPr>
          <w:b/>
        </w:rPr>
        <w:lastRenderedPageBreak/>
        <w:t>Uzavření případu – Následná zpráva</w:t>
      </w:r>
      <w:bookmarkEnd w:id="60"/>
    </w:p>
    <w:p w14:paraId="27526CEC" w14:textId="77777777" w:rsidR="00216EB7" w:rsidRDefault="00216EB7" w:rsidP="00216EB7">
      <w:pPr>
        <w:pStyle w:val="text1x"/>
      </w:pPr>
      <w:r>
        <w:t xml:space="preserve">Po ověření provedení různých nápravných opatření vypracuje pracovník pro dodržování předpisů </w:t>
      </w:r>
      <w:r>
        <w:rPr>
          <w:b/>
        </w:rPr>
        <w:t>zprávu popisující průběh celého vyšetřování</w:t>
      </w:r>
      <w:r>
        <w:t>, tj. výsledky vyšetřování a přijatá nápravná opatření.</w:t>
      </w:r>
    </w:p>
    <w:p w14:paraId="2029711A" w14:textId="77777777" w:rsidR="00216EB7" w:rsidRDefault="00216EB7" w:rsidP="00216EB7">
      <w:pPr>
        <w:pStyle w:val="text1"/>
        <w:ind w:left="0"/>
        <w:rPr>
          <w:lang w:eastAsia="pl-PL"/>
        </w:rPr>
      </w:pPr>
    </w:p>
    <w:p w14:paraId="70E4C457" w14:textId="77777777" w:rsidR="00216EB7" w:rsidRPr="00DE5D08" w:rsidRDefault="00216EB7" w:rsidP="00216EB7">
      <w:pPr>
        <w:pStyle w:val="H1"/>
      </w:pPr>
      <w:bookmarkStart w:id="61" w:name="_Toc208320430"/>
      <w:r>
        <w:t>Údržba registru oznámení</w:t>
      </w:r>
      <w:bookmarkEnd w:id="61"/>
    </w:p>
    <w:p w14:paraId="134D2BE7" w14:textId="77777777" w:rsidR="00216EB7" w:rsidRDefault="00216EB7" w:rsidP="00216EB7">
      <w:pPr>
        <w:pStyle w:val="text1x"/>
      </w:pPr>
      <w:r>
        <w:t>Registr vede pracovník pro dodržování předpisů v elektronické formě. Pracovník pro dodržování předpisů zajistí důvěrnost a bezpečnost dat uložených v registru a zpravidla má k těmto datům výhradní přístup.</w:t>
      </w:r>
    </w:p>
    <w:p w14:paraId="1299FEC8" w14:textId="77777777" w:rsidR="00216EB7" w:rsidRDefault="00216EB7" w:rsidP="00216EB7">
      <w:pPr>
        <w:pStyle w:val="text1x"/>
      </w:pPr>
      <w:r>
        <w:t>Registr oznámení zaznamenává každé oznámení podané za podmínek a prostřednictvím kanálů popsaných v těchto předpisech.</w:t>
      </w:r>
    </w:p>
    <w:p w14:paraId="38D00B89" w14:textId="77777777" w:rsidR="00216EB7" w:rsidRPr="00DE5D08" w:rsidRDefault="00216EB7" w:rsidP="00216EB7">
      <w:pPr>
        <w:pStyle w:val="text1x"/>
        <w:rPr>
          <w:lang w:eastAsia="pl-PL"/>
        </w:rPr>
      </w:pPr>
    </w:p>
    <w:p w14:paraId="2057482F" w14:textId="77777777" w:rsidR="00216EB7" w:rsidRDefault="00216EB7" w:rsidP="00216EB7">
      <w:pPr>
        <w:pStyle w:val="H1"/>
      </w:pPr>
      <w:bookmarkStart w:id="62" w:name="_Toc208320431"/>
      <w:bookmarkStart w:id="63" w:name="_Toc67492910"/>
      <w:bookmarkStart w:id="64" w:name="_Toc518581604"/>
      <w:bookmarkStart w:id="65" w:name="_Toc32933982"/>
      <w:r>
        <w:t>pravidelné hlášení stavu oznamovatelského systému</w:t>
      </w:r>
      <w:bookmarkEnd w:id="62"/>
    </w:p>
    <w:p w14:paraId="4F78FC81" w14:textId="77777777" w:rsidR="00216EB7" w:rsidRDefault="00216EB7" w:rsidP="00216EB7">
      <w:pPr>
        <w:pStyle w:val="text1"/>
      </w:pPr>
      <w:r>
        <w:t xml:space="preserve">Pracovník pro dodržování předpisů bude podávat zprávu o stavu </w:t>
      </w:r>
      <w:proofErr w:type="spellStart"/>
      <w:r>
        <w:t>oznamovatelského</w:t>
      </w:r>
      <w:proofErr w:type="spellEnd"/>
      <w:r>
        <w:t xml:space="preserve"> systému představenstvu a dozorčí radě společnosti jednou ročně do 31. března následujícího roku. Zpráva může být také předložena představenstvu nebo dozorčí radě společnosti Ferro S.A. (se zásadou důvěrnosti).</w:t>
      </w:r>
    </w:p>
    <w:p w14:paraId="6F7BBB00" w14:textId="77777777" w:rsidR="00216EB7" w:rsidRDefault="00216EB7" w:rsidP="00216EB7">
      <w:pPr>
        <w:pStyle w:val="text1"/>
      </w:pPr>
      <w:r>
        <w:t>Pokud je oznámení kladně ověřeno, přičemž je totožnost oznamovatele vedena jako důvěrná a je zohledněn předmět oznámení, může se pracovník pro dodržování předpisů rozhodnout, že bude informovat představenstvo společnosti nebo představenstvo Ferro S.A.</w:t>
      </w:r>
    </w:p>
    <w:p w14:paraId="78C1DC8B" w14:textId="77777777" w:rsidR="00216EB7" w:rsidRDefault="00216EB7" w:rsidP="00216EB7">
      <w:pPr>
        <w:pStyle w:val="text1"/>
      </w:pPr>
      <w:r>
        <w:t>Předání informací o incidentu se omezí na minimální nezbytný tok informací tvořících osobní údaje zaměstnanců. Všechny osoby, jimž se informace o porušení ve skupině sdělují, pokud je nezbytné sdělit osobní údaje oznamovatele, musejí zachovat důvěrnou povahu totožnosti oznamovatele. Pracovník pro dodržování předpisů může, v rámci komunikace o incidentu, zachovat úplnou důvěrnost osobních údajů oznamovatele, aby minimalizoval riziko odvetných opatření vůči němu.</w:t>
      </w:r>
    </w:p>
    <w:p w14:paraId="4036AFEA" w14:textId="77777777" w:rsidR="00216EB7" w:rsidRPr="005F0C0D" w:rsidRDefault="00216EB7" w:rsidP="00216EB7">
      <w:pPr>
        <w:pStyle w:val="text1"/>
        <w:rPr>
          <w:lang w:eastAsia="pl-PL"/>
        </w:rPr>
      </w:pPr>
    </w:p>
    <w:p w14:paraId="0D0781BF" w14:textId="77777777" w:rsidR="00216EB7" w:rsidRDefault="00216EB7" w:rsidP="00216EB7">
      <w:pPr>
        <w:pStyle w:val="H1"/>
      </w:pPr>
      <w:bookmarkStart w:id="66" w:name="_Toc208320432"/>
      <w:r>
        <w:t>Osobní údaje</w:t>
      </w:r>
      <w:bookmarkEnd w:id="66"/>
    </w:p>
    <w:p w14:paraId="740938C7" w14:textId="77777777" w:rsidR="00216EB7" w:rsidRDefault="00216EB7" w:rsidP="00216EB7">
      <w:pPr>
        <w:pStyle w:val="text1"/>
      </w:pPr>
      <w:r>
        <w:t xml:space="preserve">Osobní údaje obsažené ve zprávách se zpracovávají v souladu se zásadami společnosti pro zabezpečení osobních údajů, které definují způsob, jakým jsou osobní údaje chráněny, včetně zejména údajů o oznamovatelích a oznamovaných osobách, v souladu s ustanoveními o ochraně osobních údajů, zejména nařízením GDPR, a ustanoveními o ochraně oznamovatelů. </w:t>
      </w:r>
    </w:p>
    <w:p w14:paraId="675DE3FE" w14:textId="77777777" w:rsidR="007A79EF" w:rsidRDefault="00216EB7" w:rsidP="00216EB7">
      <w:pPr>
        <w:pStyle w:val="text1"/>
      </w:pPr>
      <w:r>
        <w:t>Pracovník pro dodržování předpisů je odpovědný za dohled nad tím, že všechny osobní údaje identifikující oznamovatele budou uloženy v registru samostatně ve vyhrazené</w:t>
      </w:r>
      <w:r w:rsidR="007A79EF">
        <w:t>m</w:t>
      </w:r>
      <w:r>
        <w:t xml:space="preserve"> podadresáři v adresáři případu. To může implikovat nutnost anonymizovat nebo případně </w:t>
      </w:r>
      <w:proofErr w:type="spellStart"/>
      <w:r>
        <w:t>ps</w:t>
      </w:r>
      <w:r w:rsidR="007A79EF">
        <w:t>zaměstnanci</w:t>
      </w:r>
      <w:proofErr w:type="spellEnd"/>
    </w:p>
    <w:p w14:paraId="20D41392" w14:textId="308131BD" w:rsidR="00216EB7" w:rsidRDefault="00216EB7" w:rsidP="00216EB7">
      <w:pPr>
        <w:pStyle w:val="text1"/>
      </w:pPr>
      <w:proofErr w:type="spellStart"/>
      <w:r>
        <w:t>eudonymizovat</w:t>
      </w:r>
      <w:proofErr w:type="spellEnd"/>
      <w:r>
        <w:t xml:space="preserve"> jakékoli další dokumenty obsažené v příslušných podadresářích (např. z hlediska obsahu oznámení, obsahu vytvářených zpráv atd.).</w:t>
      </w:r>
    </w:p>
    <w:p w14:paraId="02FF8376" w14:textId="77777777" w:rsidR="00216EB7" w:rsidRDefault="00216EB7" w:rsidP="00216EB7">
      <w:pPr>
        <w:pStyle w:val="text1"/>
      </w:pPr>
      <w:r>
        <w:lastRenderedPageBreak/>
        <w:t>Společnost je správcem údajů předkládaných v rámci oznámení.</w:t>
      </w:r>
    </w:p>
    <w:p w14:paraId="1F62FAEB" w14:textId="77777777" w:rsidR="00216EB7" w:rsidRDefault="00216EB7" w:rsidP="00216EB7">
      <w:pPr>
        <w:pStyle w:val="text1"/>
      </w:pPr>
      <w:r>
        <w:t>Společnost zpracuje osobní údaje oznamovatele, oznamovaných osob, zaměstnanců a dalších osob zahrnutých v oznámení pro účely související s oznamovaným porušením práva na základě právního závazku plynoucího z ustanovení zákona o ochraně osob, které oznamují porušení práva (podle čl. 6 písm. c) GDPR) nebo oprávněného zájmu správce údajů na přijímání, ověřování a zpracování oznámení o porušení práva (podle čl. 6 odst. 1 písm. f) GDPR). Společnost může shromažďovat a zpracovávat osobní údaje o oznamované osobě i bez jejího souhlasu pro účely ověření oznámení a následných opatření.</w:t>
      </w:r>
    </w:p>
    <w:p w14:paraId="3340D3EE" w14:textId="77777777" w:rsidR="00216EB7" w:rsidRDefault="00216EB7" w:rsidP="00216EB7">
      <w:pPr>
        <w:pStyle w:val="text1"/>
      </w:pPr>
      <w:r>
        <w:t>Výše uvedené osobní údaje se budou zpracovávat po dobu 5 let od data přijetí oznámení nebo po dobu trvání opatření přijatých ve vztahu k oznámení před příslušnými orgány, pokud toto období překročí lhůtu 5 let.</w:t>
      </w:r>
    </w:p>
    <w:p w14:paraId="590F11AC" w14:textId="77777777" w:rsidR="00216EB7" w:rsidRPr="006E707C" w:rsidRDefault="00216EB7" w:rsidP="00216EB7">
      <w:pPr>
        <w:pStyle w:val="text1"/>
      </w:pPr>
      <w:r>
        <w:t xml:space="preserve">Společnost zaručuje důvěrnost osobních údajů ve vztahu k přijatému oznámení. </w:t>
      </w:r>
      <w:bookmarkStart w:id="67" w:name="_Hlk89945952"/>
      <w:r>
        <w:t>Společnost smí postoupit osobní údaje subjektům oprávněným z příslušných právních předpisů k jejich přijetí. Dále společnost poskytne osobní údaje pracovníkovi pro dodržování předpisů a jiným osobám oprávněným vyšetřit oznámení, dodavatelům a zaměstnancům IT systémů,</w:t>
      </w:r>
      <w:r>
        <w:rPr>
          <w:rFonts w:ascii="Times New Roman" w:hAnsi="Times New Roman"/>
          <w:color w:val="auto"/>
          <w:sz w:val="20"/>
        </w:rPr>
        <w:t xml:space="preserve"> </w:t>
      </w:r>
      <w:r>
        <w:t>včetně dodavatelů systémů, které umožní vytvoření zprávy.</w:t>
      </w:r>
      <w:bookmarkEnd w:id="67"/>
      <w:r>
        <w:t xml:space="preserve"> V případech definovaných těmito předpisy mohou být vaše osobní údaje také zpracovány řídicími nebo dozorčími orgány společnosti nebo Ferro S.A.</w:t>
      </w:r>
    </w:p>
    <w:p w14:paraId="3225E6E0" w14:textId="77777777" w:rsidR="00216EB7" w:rsidRDefault="00216EB7" w:rsidP="00216EB7">
      <w:pPr>
        <w:pStyle w:val="text1"/>
      </w:pPr>
      <w:r>
        <w:t>Osobní údaje nebudou předány do třetí země ani mezinárodní organizaci. Osobní údaje nebudou předmětem profilování ani automatizovaného rozhodování.</w:t>
      </w:r>
    </w:p>
    <w:p w14:paraId="7316EEB9" w14:textId="77777777" w:rsidR="00216EB7" w:rsidRDefault="00216EB7" w:rsidP="00216EB7">
      <w:pPr>
        <w:pStyle w:val="text1"/>
      </w:pPr>
      <w:r>
        <w:t>Oznamovatel má právo požádat o přístup ke svým osobním údajům a o jejich opravu. Rovněž má právo požádat o výmaz nebo o omezení zpracování a rovněž vznést námitku proti zpracování, pokud a pouze tehdy, když další zpracování není nezbytné pro to, aby společnost dodržela právní závazek a neexistují žádné jiné naléhavé právní důvody pro zpracování.</w:t>
      </w:r>
    </w:p>
    <w:p w14:paraId="51D116C2" w14:textId="77777777" w:rsidR="00216EB7" w:rsidRDefault="00216EB7" w:rsidP="00216EB7">
      <w:pPr>
        <w:pStyle w:val="text1"/>
        <w:rPr>
          <w:lang w:eastAsia="pl-PL"/>
        </w:rPr>
      </w:pPr>
    </w:p>
    <w:p w14:paraId="5D62EB83" w14:textId="77777777" w:rsidR="00216EB7" w:rsidRPr="00DA23ED" w:rsidRDefault="00216EB7" w:rsidP="00216EB7">
      <w:pPr>
        <w:pStyle w:val="H1"/>
      </w:pPr>
      <w:bookmarkStart w:id="68" w:name="_Toc208320433"/>
      <w:r>
        <w:t>INTERNÍ OZNÁMENÍ</w:t>
      </w:r>
      <w:bookmarkEnd w:id="68"/>
    </w:p>
    <w:p w14:paraId="36F1F507" w14:textId="77777777" w:rsidR="00216EB7" w:rsidRPr="000D155E" w:rsidRDefault="00216EB7" w:rsidP="00216EB7">
      <w:pPr>
        <w:pStyle w:val="text1"/>
      </w:pPr>
      <w:r>
        <w:t>Zaměstnanci mají právo oznámit specifická porušení práva veřejnému orgánu příslušnému pro danou kategorii porušení, případně institucím, orgánům nebo organizačním jednotkám Evropské unie, a tím obejít postup uvedený v těchto předpisech, zejména pokud:</w:t>
      </w:r>
    </w:p>
    <w:p w14:paraId="7B51F1B8" w14:textId="77777777" w:rsidR="00216EB7" w:rsidRPr="000D155E" w:rsidRDefault="00216EB7" w:rsidP="00216EB7">
      <w:pPr>
        <w:pStyle w:val="text1"/>
        <w:numPr>
          <w:ilvl w:val="0"/>
          <w:numId w:val="6"/>
        </w:numPr>
        <w:rPr>
          <w:rFonts w:eastAsia="Arial"/>
        </w:rPr>
      </w:pPr>
      <w:r>
        <w:t>organizace neučiní následné kroky nebo neposkytne oznamovateli zpětnou vazbu ve lhůtě 3 měsíců od přijetí oznámení poskytnuté pro zpětnou vazbu, nebo</w:t>
      </w:r>
    </w:p>
    <w:p w14:paraId="11B31A6E" w14:textId="3AF4E51F" w:rsidR="00216EB7" w:rsidRPr="000D155E" w:rsidRDefault="00216EB7" w:rsidP="00216EB7">
      <w:pPr>
        <w:pStyle w:val="text1"/>
        <w:numPr>
          <w:ilvl w:val="0"/>
          <w:numId w:val="6"/>
        </w:numPr>
        <w:rPr>
          <w:rFonts w:eastAsia="Arial"/>
        </w:rPr>
      </w:pPr>
      <w:r>
        <w:t>oznamovatel má oprávněné důvody</w:t>
      </w:r>
      <w:r w:rsidR="00967C8B">
        <w:t>,</w:t>
      </w:r>
      <w:r>
        <w:t xml:space="preserve"> se domnívat, že porušení práva může představovat přímé nebo zjevné ohrožení veřejného zájmu, zejména hrozí riziko nenapravitelných škod, nebo</w:t>
      </w:r>
    </w:p>
    <w:p w14:paraId="1F09A7BC" w14:textId="77777777" w:rsidR="00216EB7" w:rsidRPr="00226504" w:rsidRDefault="00216EB7" w:rsidP="00216EB7">
      <w:pPr>
        <w:pStyle w:val="text1"/>
        <w:numPr>
          <w:ilvl w:val="0"/>
          <w:numId w:val="6"/>
        </w:numPr>
        <w:rPr>
          <w:rFonts w:eastAsia="Arial"/>
        </w:rPr>
      </w:pPr>
      <w:r>
        <w:t>oznamovatel má oprávněné důvody se domnívat, že podáním interního oznámení by se rozhodně vystavil odvetným opatřením, nebo</w:t>
      </w:r>
    </w:p>
    <w:p w14:paraId="50748C7F" w14:textId="77777777" w:rsidR="00216EB7" w:rsidRPr="00226504" w:rsidRDefault="00216EB7" w:rsidP="00216EB7">
      <w:pPr>
        <w:pStyle w:val="text1"/>
        <w:numPr>
          <w:ilvl w:val="0"/>
          <w:numId w:val="6"/>
        </w:numPr>
      </w:pPr>
      <w:r>
        <w:rPr>
          <w:color w:val="auto"/>
        </w:rPr>
        <w:t>pokud bude provedeno interní oznámení, existuje malá pravděpodobnost, že zaměstnavatel bude úspěšně řešit porušení práva vzhledem ke konkrétním okolnostem případu.</w:t>
      </w:r>
    </w:p>
    <w:p w14:paraId="223EBCA1" w14:textId="77777777" w:rsidR="00216EB7" w:rsidRDefault="00216EB7" w:rsidP="00216EB7">
      <w:pPr>
        <w:pStyle w:val="text1"/>
      </w:pPr>
      <w:r>
        <w:lastRenderedPageBreak/>
        <w:t>Společnost však vybízí všechny zaměstnance, kteří vědí o porušení práva, aby tyto informace oznámily vhodným osobám v rámci skupiny. Společnost zajišťuje oznamovací kanály v oddíle 3.1, aby účinně reagovala na porušení práva a zabránila jeho výskytu v budoucnu. Vzhledem k plným zárukám ochrany oznamovatele a větší efektivnosti interního vyšetřování vybízí společnost ke zveřejnění informací o oznamovateli způsobem uvedeným v těchto předpisech.</w:t>
      </w:r>
    </w:p>
    <w:p w14:paraId="5BD733D2" w14:textId="77777777" w:rsidR="00216EB7" w:rsidRDefault="00216EB7" w:rsidP="00216EB7">
      <w:pPr>
        <w:pStyle w:val="text1"/>
      </w:pPr>
    </w:p>
    <w:p w14:paraId="69EBD621" w14:textId="77777777" w:rsidR="00216EB7" w:rsidRDefault="00216EB7" w:rsidP="00216EB7">
      <w:pPr>
        <w:pStyle w:val="H1"/>
      </w:pPr>
      <w:bookmarkStart w:id="69" w:name="_Toc208320434"/>
      <w:r>
        <w:t>ODPOVĚDNOST</w:t>
      </w:r>
      <w:bookmarkEnd w:id="69"/>
    </w:p>
    <w:p w14:paraId="17829DD6" w14:textId="77777777" w:rsidR="00216EB7" w:rsidRDefault="00216EB7" w:rsidP="00216EB7">
      <w:pPr>
        <w:pStyle w:val="text1"/>
      </w:pPr>
      <w:r>
        <w:rPr>
          <w:b/>
        </w:rPr>
        <w:t>Všichni zaměstnanci</w:t>
      </w:r>
      <w:r>
        <w:t xml:space="preserve"> – vyzýváme, aby každý zaměstnanec, který zjistí jakékoli porušení práva v souvislosti s plněním svých povinnosti nebo smlouvy se společností, podal oznámení v souladu s podmínkami popsanými v těchto předpisech, a to co nejdříve po takovém zjištění. </w:t>
      </w:r>
    </w:p>
    <w:p w14:paraId="08EDD929" w14:textId="77777777" w:rsidR="00216EB7" w:rsidRDefault="00216EB7" w:rsidP="00216EB7">
      <w:pPr>
        <w:pStyle w:val="text1"/>
      </w:pPr>
      <w:r>
        <w:rPr>
          <w:b/>
        </w:rPr>
        <w:t>Generální ředitel</w:t>
      </w:r>
      <w:r>
        <w:t xml:space="preserve"> – dohlíží nad zavedením řešení, která umožní podávání oznámení bezpečně, důvěrně a v souladu s právními předpisy.</w:t>
      </w:r>
    </w:p>
    <w:p w14:paraId="27B0B923" w14:textId="77777777" w:rsidR="00216EB7" w:rsidRDefault="00216EB7" w:rsidP="00216EB7">
      <w:pPr>
        <w:pStyle w:val="text1"/>
      </w:pPr>
      <w:r>
        <w:rPr>
          <w:b/>
        </w:rPr>
        <w:t>Pracovník pro dodržování předpisů</w:t>
      </w:r>
      <w:r>
        <w:t xml:space="preserve"> – dohlíží nad procesem přijímání a zpracování oznámení v souladu s těmito předpisy a ustanoveními právních předpisů.</w:t>
      </w:r>
    </w:p>
    <w:p w14:paraId="41BB32E1" w14:textId="77777777" w:rsidR="00216EB7" w:rsidRDefault="00216EB7" w:rsidP="00216EB7">
      <w:pPr>
        <w:pStyle w:val="text1"/>
      </w:pPr>
    </w:p>
    <w:p w14:paraId="459BC04C" w14:textId="77777777" w:rsidR="00216EB7" w:rsidRDefault="00216EB7" w:rsidP="00216EB7">
      <w:pPr>
        <w:pStyle w:val="H1"/>
      </w:pPr>
      <w:bookmarkStart w:id="70" w:name="_Toc208320435"/>
      <w:r>
        <w:t>ZÁVĚREČNÁ USTANOVENÍ</w:t>
      </w:r>
      <w:bookmarkEnd w:id="70"/>
    </w:p>
    <w:p w14:paraId="032D064B" w14:textId="77777777" w:rsidR="00216EB7" w:rsidRPr="008B3E6D" w:rsidRDefault="00216EB7" w:rsidP="00216EB7">
      <w:pPr>
        <w:pStyle w:val="text1"/>
      </w:pPr>
      <w:r>
        <w:t xml:space="preserve">Znalost pravidel stanovených v těchto předpisech je odpovědností všech zaměstnanců. </w:t>
      </w:r>
    </w:p>
    <w:p w14:paraId="299D196E" w14:textId="7E3D1E00" w:rsidR="00FC4F20" w:rsidRDefault="00FC4F20" w:rsidP="00216EB7">
      <w:pPr>
        <w:pStyle w:val="text1"/>
      </w:pPr>
      <w:r w:rsidRPr="00FC4F20">
        <w:t>Každý zaměstnanec je povinen se seznámit s touto směrnicí a potvrdit seznámení podpisem na evidenčním listu, který je uložen u HR oddělení.</w:t>
      </w:r>
    </w:p>
    <w:p w14:paraId="37874245" w14:textId="71A6DDEF" w:rsidR="00216EB7" w:rsidRPr="008B3E6D" w:rsidRDefault="00216EB7" w:rsidP="00216EB7">
      <w:pPr>
        <w:pStyle w:val="text1"/>
      </w:pPr>
      <w:r>
        <w:t>Společnost pověřuje pracovníka pro dodržování předpisů tím, aby plnil činnosti ve vztahu k přijímání oznámení od oznamovatelů a podnikal následná opatření popsaná v těchto předpisech. Toto delegování bude provedeno formou písemného oprávnění doprovázeného prohlášením.</w:t>
      </w:r>
    </w:p>
    <w:p w14:paraId="0F15451A" w14:textId="58F04771" w:rsidR="005A1446" w:rsidRDefault="00216EB7" w:rsidP="00346399">
      <w:pPr>
        <w:pStyle w:val="text1"/>
      </w:pPr>
      <w:r>
        <w:t>Předpisy o interním oznamování vstoupí v účinnost 2 týdny poté, co bude aktualizovaná verze oznámena zaměstnancům.</w:t>
      </w:r>
    </w:p>
    <w:p w14:paraId="70DE0CB3" w14:textId="77777777" w:rsidR="005A1446" w:rsidRDefault="005A1446" w:rsidP="00157B38">
      <w:pPr>
        <w:pStyle w:val="text1"/>
      </w:pPr>
    </w:p>
    <w:p w14:paraId="63211B75" w14:textId="77777777" w:rsidR="005A1446" w:rsidRDefault="005A1446" w:rsidP="00157B38">
      <w:pPr>
        <w:pStyle w:val="text1"/>
      </w:pPr>
    </w:p>
    <w:p w14:paraId="6534D0C4" w14:textId="77777777" w:rsidR="005A1446" w:rsidRDefault="005A1446" w:rsidP="00157B38">
      <w:pPr>
        <w:pStyle w:val="text1"/>
      </w:pPr>
    </w:p>
    <w:p w14:paraId="62E25128" w14:textId="77777777" w:rsidR="005A1446" w:rsidRDefault="005A1446" w:rsidP="00157B38">
      <w:pPr>
        <w:pStyle w:val="text1"/>
      </w:pPr>
    </w:p>
    <w:p w14:paraId="67F7A2DC" w14:textId="77777777" w:rsidR="005A1446" w:rsidRDefault="005A1446" w:rsidP="00157B38">
      <w:pPr>
        <w:pStyle w:val="text1"/>
      </w:pPr>
    </w:p>
    <w:p w14:paraId="1C866ADD" w14:textId="77777777" w:rsidR="005A1446" w:rsidRDefault="005A1446" w:rsidP="00157B38">
      <w:pPr>
        <w:pStyle w:val="text1"/>
      </w:pPr>
    </w:p>
    <w:p w14:paraId="02AB2E78" w14:textId="77777777" w:rsidR="005A1446" w:rsidRDefault="005A1446" w:rsidP="00157B38">
      <w:pPr>
        <w:pStyle w:val="text1"/>
      </w:pPr>
    </w:p>
    <w:p w14:paraId="4DD9FD3B" w14:textId="77777777" w:rsidR="005A1446" w:rsidRDefault="005A1446" w:rsidP="00157B38">
      <w:pPr>
        <w:pStyle w:val="text1"/>
      </w:pPr>
    </w:p>
    <w:p w14:paraId="7E9F308B" w14:textId="77777777" w:rsidR="005A1446" w:rsidRDefault="005A1446" w:rsidP="00157B38">
      <w:pPr>
        <w:pStyle w:val="text1"/>
      </w:pPr>
    </w:p>
    <w:p w14:paraId="0BD4BCC8" w14:textId="77777777" w:rsidR="003D5F06" w:rsidRDefault="003D5F06" w:rsidP="00346399">
      <w:pPr>
        <w:pStyle w:val="text1"/>
        <w:ind w:left="0"/>
        <w:rPr>
          <w:b/>
          <w:bCs/>
        </w:rPr>
      </w:pPr>
    </w:p>
    <w:p w14:paraId="78C55F82" w14:textId="4B475D57" w:rsidR="003D5F06" w:rsidRPr="003D5F06" w:rsidRDefault="00F72A72" w:rsidP="003D5F06">
      <w:pPr>
        <w:pStyle w:val="text1"/>
        <w:rPr>
          <w:b/>
          <w:bCs/>
        </w:rPr>
      </w:pPr>
      <w:r w:rsidRPr="00F72A72">
        <w:rPr>
          <w:b/>
          <w:bCs/>
        </w:rPr>
        <w:lastRenderedPageBreak/>
        <w:t>Příloha č. 1 – Evidenční list seznámení se směrnicí</w:t>
      </w:r>
    </w:p>
    <w:tbl>
      <w:tblPr>
        <w:tblStyle w:val="Mkatabulky"/>
        <w:tblW w:w="9209" w:type="dxa"/>
        <w:tblLook w:val="04A0" w:firstRow="1" w:lastRow="0" w:firstColumn="1" w:lastColumn="0" w:noHBand="0" w:noVBand="1"/>
      </w:tblPr>
      <w:tblGrid>
        <w:gridCol w:w="2405"/>
        <w:gridCol w:w="4111"/>
        <w:gridCol w:w="2693"/>
      </w:tblGrid>
      <w:tr w:rsidR="003D5F06" w:rsidRPr="00D863F2" w14:paraId="012AE1A7" w14:textId="77777777" w:rsidTr="001C753A">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D9D9D9" w:themeFill="background1" w:themeFillShade="D9"/>
          </w:tcPr>
          <w:p w14:paraId="46EDFC42" w14:textId="77777777" w:rsidR="003D5F06" w:rsidRPr="00D863F2" w:rsidRDefault="003D5F06" w:rsidP="001C753A">
            <w:pPr>
              <w:jc w:val="center"/>
              <w:rPr>
                <w:rFonts w:cstheme="minorHAnsi"/>
                <w:b/>
                <w:bCs/>
                <w:color w:val="000000" w:themeColor="text1"/>
              </w:rPr>
            </w:pPr>
            <w:r w:rsidRPr="00D863F2">
              <w:rPr>
                <w:rFonts w:cstheme="minorHAnsi"/>
                <w:b/>
                <w:bCs/>
                <w:color w:val="000000" w:themeColor="text1"/>
              </w:rPr>
              <w:t>Funkce</w:t>
            </w:r>
          </w:p>
        </w:tc>
        <w:tc>
          <w:tcPr>
            <w:tcW w:w="4111" w:type="dxa"/>
            <w:shd w:val="clear" w:color="auto" w:fill="D9D9D9" w:themeFill="background1" w:themeFillShade="D9"/>
          </w:tcPr>
          <w:p w14:paraId="32F33789" w14:textId="77777777" w:rsidR="003D5F06" w:rsidRPr="00D863F2" w:rsidRDefault="003D5F06" w:rsidP="001C753A">
            <w:pPr>
              <w:jc w:val="center"/>
              <w:rPr>
                <w:rFonts w:cstheme="minorHAnsi"/>
                <w:b/>
                <w:bCs/>
                <w:color w:val="000000" w:themeColor="text1"/>
              </w:rPr>
            </w:pPr>
            <w:r w:rsidRPr="00D863F2">
              <w:rPr>
                <w:rFonts w:cstheme="minorHAnsi"/>
                <w:b/>
                <w:bCs/>
                <w:color w:val="000000" w:themeColor="text1"/>
              </w:rPr>
              <w:t>Jméno</w:t>
            </w:r>
          </w:p>
        </w:tc>
        <w:tc>
          <w:tcPr>
            <w:tcW w:w="2693" w:type="dxa"/>
            <w:shd w:val="clear" w:color="auto" w:fill="D9D9D9" w:themeFill="background1" w:themeFillShade="D9"/>
          </w:tcPr>
          <w:p w14:paraId="37A64827" w14:textId="77777777" w:rsidR="003D5F06" w:rsidRPr="00D863F2" w:rsidRDefault="003D5F06" w:rsidP="001C753A">
            <w:pPr>
              <w:jc w:val="center"/>
              <w:rPr>
                <w:rFonts w:cstheme="minorHAnsi"/>
                <w:b/>
                <w:bCs/>
                <w:color w:val="000000" w:themeColor="text1"/>
              </w:rPr>
            </w:pPr>
            <w:r w:rsidRPr="00D863F2">
              <w:rPr>
                <w:rFonts w:cstheme="minorHAnsi"/>
                <w:b/>
                <w:bCs/>
                <w:color w:val="000000" w:themeColor="text1"/>
              </w:rPr>
              <w:t>Podpis/Elektronicky (e)</w:t>
            </w:r>
          </w:p>
        </w:tc>
      </w:tr>
      <w:tr w:rsidR="003D5F06" w:rsidRPr="00D863F2" w14:paraId="6914B42E" w14:textId="77777777" w:rsidTr="001C753A">
        <w:trPr>
          <w:trHeight w:val="397"/>
        </w:trPr>
        <w:tc>
          <w:tcPr>
            <w:tcW w:w="2405" w:type="dxa"/>
            <w:shd w:val="clear" w:color="auto" w:fill="FFFFFF" w:themeFill="background1"/>
          </w:tcPr>
          <w:p w14:paraId="651F8335" w14:textId="77777777" w:rsidR="003D5F06" w:rsidRPr="00D863F2" w:rsidRDefault="003D5F06" w:rsidP="001C753A">
            <w:pPr>
              <w:rPr>
                <w:rFonts w:cstheme="minorHAnsi"/>
                <w:b/>
                <w:bCs/>
                <w:color w:val="000000" w:themeColor="text1"/>
              </w:rPr>
            </w:pPr>
          </w:p>
        </w:tc>
        <w:tc>
          <w:tcPr>
            <w:tcW w:w="4111" w:type="dxa"/>
            <w:shd w:val="clear" w:color="auto" w:fill="FFFFFF" w:themeFill="background1"/>
          </w:tcPr>
          <w:p w14:paraId="04F9634C" w14:textId="77777777" w:rsidR="003D5F06" w:rsidRPr="00D863F2" w:rsidRDefault="003D5F06" w:rsidP="001C753A">
            <w:pPr>
              <w:rPr>
                <w:rFonts w:cstheme="minorHAnsi"/>
                <w:b/>
                <w:bCs/>
                <w:color w:val="000000" w:themeColor="text1"/>
              </w:rPr>
            </w:pPr>
          </w:p>
        </w:tc>
        <w:tc>
          <w:tcPr>
            <w:tcW w:w="2693" w:type="dxa"/>
            <w:shd w:val="clear" w:color="auto" w:fill="FFFFFF" w:themeFill="background1"/>
          </w:tcPr>
          <w:p w14:paraId="6E630DC8" w14:textId="77777777" w:rsidR="003D5F06" w:rsidRPr="00D863F2" w:rsidRDefault="003D5F06" w:rsidP="001C753A">
            <w:pPr>
              <w:rPr>
                <w:rFonts w:cstheme="minorHAnsi"/>
                <w:b/>
                <w:bCs/>
                <w:color w:val="000000" w:themeColor="text1"/>
              </w:rPr>
            </w:pPr>
          </w:p>
        </w:tc>
      </w:tr>
      <w:tr w:rsidR="003D5F06" w:rsidRPr="00D863F2" w14:paraId="5B5BBC3A" w14:textId="77777777" w:rsidTr="001C753A">
        <w:trPr>
          <w:trHeight w:val="397"/>
        </w:trPr>
        <w:tc>
          <w:tcPr>
            <w:tcW w:w="2405" w:type="dxa"/>
            <w:shd w:val="clear" w:color="auto" w:fill="FFFFFF" w:themeFill="background1"/>
          </w:tcPr>
          <w:p w14:paraId="5A5132BC" w14:textId="77777777" w:rsidR="003D5F06" w:rsidRPr="00D863F2" w:rsidRDefault="003D5F06" w:rsidP="001C753A">
            <w:pPr>
              <w:rPr>
                <w:rFonts w:cstheme="minorHAnsi"/>
                <w:b/>
                <w:bCs/>
                <w:color w:val="000000" w:themeColor="text1"/>
              </w:rPr>
            </w:pPr>
          </w:p>
        </w:tc>
        <w:tc>
          <w:tcPr>
            <w:tcW w:w="4111" w:type="dxa"/>
            <w:shd w:val="clear" w:color="auto" w:fill="FFFFFF" w:themeFill="background1"/>
          </w:tcPr>
          <w:p w14:paraId="781430F5" w14:textId="77777777" w:rsidR="003D5F06" w:rsidRPr="00D863F2" w:rsidRDefault="003D5F06" w:rsidP="001C753A">
            <w:pPr>
              <w:rPr>
                <w:rFonts w:cstheme="minorHAnsi"/>
                <w:b/>
                <w:bCs/>
                <w:color w:val="000000" w:themeColor="text1"/>
              </w:rPr>
            </w:pPr>
          </w:p>
        </w:tc>
        <w:tc>
          <w:tcPr>
            <w:tcW w:w="2693" w:type="dxa"/>
            <w:shd w:val="clear" w:color="auto" w:fill="FFFFFF" w:themeFill="background1"/>
          </w:tcPr>
          <w:p w14:paraId="39A71EF7" w14:textId="77777777" w:rsidR="003D5F06" w:rsidRPr="00D863F2" w:rsidRDefault="003D5F06" w:rsidP="001C753A">
            <w:pPr>
              <w:rPr>
                <w:rFonts w:cstheme="minorHAnsi"/>
                <w:b/>
                <w:bCs/>
                <w:color w:val="000000" w:themeColor="text1"/>
              </w:rPr>
            </w:pPr>
          </w:p>
        </w:tc>
      </w:tr>
      <w:tr w:rsidR="003D5F06" w:rsidRPr="00D863F2" w14:paraId="039C44BC" w14:textId="77777777" w:rsidTr="001C753A">
        <w:trPr>
          <w:trHeight w:val="397"/>
        </w:trPr>
        <w:tc>
          <w:tcPr>
            <w:tcW w:w="2405" w:type="dxa"/>
            <w:shd w:val="clear" w:color="auto" w:fill="FFFFFF" w:themeFill="background1"/>
          </w:tcPr>
          <w:p w14:paraId="6950D662" w14:textId="77777777" w:rsidR="003D5F06" w:rsidRPr="00D863F2" w:rsidRDefault="003D5F06" w:rsidP="001C753A">
            <w:pPr>
              <w:rPr>
                <w:rFonts w:cstheme="minorHAnsi"/>
                <w:b/>
                <w:bCs/>
                <w:color w:val="000000" w:themeColor="text1"/>
              </w:rPr>
            </w:pPr>
          </w:p>
        </w:tc>
        <w:tc>
          <w:tcPr>
            <w:tcW w:w="4111" w:type="dxa"/>
            <w:shd w:val="clear" w:color="auto" w:fill="FFFFFF" w:themeFill="background1"/>
          </w:tcPr>
          <w:p w14:paraId="5D3D5B38" w14:textId="77777777" w:rsidR="003D5F06" w:rsidRPr="00D863F2" w:rsidRDefault="003D5F06" w:rsidP="001C753A">
            <w:pPr>
              <w:rPr>
                <w:rFonts w:cstheme="minorHAnsi"/>
                <w:b/>
                <w:bCs/>
                <w:color w:val="000000" w:themeColor="text1"/>
              </w:rPr>
            </w:pPr>
          </w:p>
        </w:tc>
        <w:tc>
          <w:tcPr>
            <w:tcW w:w="2693" w:type="dxa"/>
            <w:shd w:val="clear" w:color="auto" w:fill="FFFFFF" w:themeFill="background1"/>
          </w:tcPr>
          <w:p w14:paraId="15E16995" w14:textId="77777777" w:rsidR="003D5F06" w:rsidRPr="00D863F2" w:rsidRDefault="003D5F06" w:rsidP="001C753A">
            <w:pPr>
              <w:rPr>
                <w:rFonts w:cstheme="minorHAnsi"/>
                <w:b/>
                <w:bCs/>
                <w:color w:val="000000" w:themeColor="text1"/>
              </w:rPr>
            </w:pPr>
          </w:p>
        </w:tc>
      </w:tr>
      <w:tr w:rsidR="003D5F06" w14:paraId="27F5FB36" w14:textId="77777777" w:rsidTr="001C753A">
        <w:trPr>
          <w:trHeight w:val="397"/>
        </w:trPr>
        <w:tc>
          <w:tcPr>
            <w:tcW w:w="2405" w:type="dxa"/>
            <w:shd w:val="clear" w:color="auto" w:fill="FFFFFF" w:themeFill="background1"/>
          </w:tcPr>
          <w:p w14:paraId="1D059E57"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7B98325D"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18D113EC" w14:textId="77777777" w:rsidR="003D5F06" w:rsidRPr="00E31165" w:rsidRDefault="003D5F06" w:rsidP="001C753A">
            <w:pPr>
              <w:rPr>
                <w:rFonts w:ascii="Times New Roman" w:hAnsi="Times New Roman" w:cs="Times New Roman"/>
                <w:b/>
                <w:bCs/>
                <w:color w:val="000000" w:themeColor="text1"/>
              </w:rPr>
            </w:pPr>
          </w:p>
        </w:tc>
      </w:tr>
      <w:tr w:rsidR="003D5F06" w14:paraId="71E3538A" w14:textId="77777777" w:rsidTr="001C753A">
        <w:trPr>
          <w:trHeight w:val="397"/>
        </w:trPr>
        <w:tc>
          <w:tcPr>
            <w:tcW w:w="2405" w:type="dxa"/>
            <w:shd w:val="clear" w:color="auto" w:fill="FFFFFF" w:themeFill="background1"/>
          </w:tcPr>
          <w:p w14:paraId="22B2FC1E"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477ED8E6"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6853CCC3" w14:textId="77777777" w:rsidR="003D5F06" w:rsidRPr="00E31165" w:rsidRDefault="003D5F06" w:rsidP="001C753A">
            <w:pPr>
              <w:rPr>
                <w:rFonts w:ascii="Times New Roman" w:hAnsi="Times New Roman" w:cs="Times New Roman"/>
                <w:b/>
                <w:bCs/>
                <w:color w:val="000000" w:themeColor="text1"/>
              </w:rPr>
            </w:pPr>
          </w:p>
        </w:tc>
      </w:tr>
      <w:tr w:rsidR="003D5F06" w14:paraId="19002A15" w14:textId="77777777" w:rsidTr="001C753A">
        <w:trPr>
          <w:trHeight w:val="397"/>
        </w:trPr>
        <w:tc>
          <w:tcPr>
            <w:tcW w:w="2405" w:type="dxa"/>
            <w:shd w:val="clear" w:color="auto" w:fill="FFFFFF" w:themeFill="background1"/>
          </w:tcPr>
          <w:p w14:paraId="3908DB41"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23D02BD9"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042EF881" w14:textId="77777777" w:rsidR="003D5F06" w:rsidRPr="00E31165" w:rsidRDefault="003D5F06" w:rsidP="001C753A">
            <w:pPr>
              <w:rPr>
                <w:rFonts w:ascii="Times New Roman" w:hAnsi="Times New Roman" w:cs="Times New Roman"/>
                <w:b/>
                <w:bCs/>
                <w:color w:val="000000" w:themeColor="text1"/>
              </w:rPr>
            </w:pPr>
          </w:p>
        </w:tc>
      </w:tr>
      <w:tr w:rsidR="003D5F06" w14:paraId="527F14B2" w14:textId="77777777" w:rsidTr="001C753A">
        <w:trPr>
          <w:trHeight w:val="397"/>
        </w:trPr>
        <w:tc>
          <w:tcPr>
            <w:tcW w:w="2405" w:type="dxa"/>
            <w:shd w:val="clear" w:color="auto" w:fill="FFFFFF" w:themeFill="background1"/>
          </w:tcPr>
          <w:p w14:paraId="365B2A77"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6278F1F8"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54E78FA8" w14:textId="77777777" w:rsidR="003D5F06" w:rsidRPr="00E31165" w:rsidRDefault="003D5F06" w:rsidP="001C753A">
            <w:pPr>
              <w:rPr>
                <w:rFonts w:ascii="Times New Roman" w:hAnsi="Times New Roman" w:cs="Times New Roman"/>
                <w:b/>
                <w:bCs/>
                <w:color w:val="000000" w:themeColor="text1"/>
              </w:rPr>
            </w:pPr>
          </w:p>
        </w:tc>
      </w:tr>
      <w:tr w:rsidR="003D5F06" w14:paraId="68D714BA" w14:textId="77777777" w:rsidTr="001C753A">
        <w:trPr>
          <w:trHeight w:val="397"/>
        </w:trPr>
        <w:tc>
          <w:tcPr>
            <w:tcW w:w="2405" w:type="dxa"/>
            <w:shd w:val="clear" w:color="auto" w:fill="FFFFFF" w:themeFill="background1"/>
          </w:tcPr>
          <w:p w14:paraId="7049C362"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58D974D2"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29637D9F" w14:textId="77777777" w:rsidR="003D5F06" w:rsidRPr="00E31165" w:rsidRDefault="003D5F06" w:rsidP="001C753A">
            <w:pPr>
              <w:rPr>
                <w:rFonts w:ascii="Times New Roman" w:hAnsi="Times New Roman" w:cs="Times New Roman"/>
                <w:b/>
                <w:bCs/>
                <w:color w:val="000000" w:themeColor="text1"/>
              </w:rPr>
            </w:pPr>
          </w:p>
        </w:tc>
      </w:tr>
      <w:tr w:rsidR="003D5F06" w14:paraId="2C90B033" w14:textId="77777777" w:rsidTr="001C753A">
        <w:trPr>
          <w:trHeight w:val="397"/>
        </w:trPr>
        <w:tc>
          <w:tcPr>
            <w:tcW w:w="2405" w:type="dxa"/>
            <w:shd w:val="clear" w:color="auto" w:fill="FFFFFF" w:themeFill="background1"/>
          </w:tcPr>
          <w:p w14:paraId="1E4306DA"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0C6AA686"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72832789" w14:textId="77777777" w:rsidR="003D5F06" w:rsidRPr="00E31165" w:rsidRDefault="003D5F06" w:rsidP="001C753A">
            <w:pPr>
              <w:rPr>
                <w:rFonts w:ascii="Times New Roman" w:hAnsi="Times New Roman" w:cs="Times New Roman"/>
                <w:b/>
                <w:bCs/>
                <w:color w:val="000000" w:themeColor="text1"/>
              </w:rPr>
            </w:pPr>
          </w:p>
        </w:tc>
      </w:tr>
      <w:tr w:rsidR="003D5F06" w14:paraId="7F721ABB" w14:textId="77777777" w:rsidTr="001C753A">
        <w:trPr>
          <w:trHeight w:val="397"/>
        </w:trPr>
        <w:tc>
          <w:tcPr>
            <w:tcW w:w="2405" w:type="dxa"/>
            <w:shd w:val="clear" w:color="auto" w:fill="FFFFFF" w:themeFill="background1"/>
          </w:tcPr>
          <w:p w14:paraId="45C47110"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1C32592B"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52937EBE" w14:textId="77777777" w:rsidR="003D5F06" w:rsidRPr="00E31165" w:rsidRDefault="003D5F06" w:rsidP="001C753A">
            <w:pPr>
              <w:rPr>
                <w:rFonts w:ascii="Times New Roman" w:hAnsi="Times New Roman" w:cs="Times New Roman"/>
                <w:b/>
                <w:bCs/>
                <w:color w:val="000000" w:themeColor="text1"/>
              </w:rPr>
            </w:pPr>
          </w:p>
        </w:tc>
      </w:tr>
      <w:tr w:rsidR="003D5F06" w14:paraId="6A96F83D" w14:textId="77777777" w:rsidTr="001C753A">
        <w:trPr>
          <w:trHeight w:val="397"/>
        </w:trPr>
        <w:tc>
          <w:tcPr>
            <w:tcW w:w="2405" w:type="dxa"/>
            <w:shd w:val="clear" w:color="auto" w:fill="FFFFFF" w:themeFill="background1"/>
          </w:tcPr>
          <w:p w14:paraId="577884B9"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458892BC"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237214DC" w14:textId="77777777" w:rsidR="003D5F06" w:rsidRPr="00E31165" w:rsidRDefault="003D5F06" w:rsidP="001C753A">
            <w:pPr>
              <w:rPr>
                <w:rFonts w:ascii="Times New Roman" w:hAnsi="Times New Roman" w:cs="Times New Roman"/>
                <w:b/>
                <w:bCs/>
                <w:color w:val="000000" w:themeColor="text1"/>
              </w:rPr>
            </w:pPr>
          </w:p>
        </w:tc>
      </w:tr>
      <w:tr w:rsidR="003D5F06" w14:paraId="1DC31084" w14:textId="77777777" w:rsidTr="001C753A">
        <w:trPr>
          <w:trHeight w:val="397"/>
        </w:trPr>
        <w:tc>
          <w:tcPr>
            <w:tcW w:w="2405" w:type="dxa"/>
            <w:shd w:val="clear" w:color="auto" w:fill="FFFFFF" w:themeFill="background1"/>
          </w:tcPr>
          <w:p w14:paraId="3CBE1E77"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64A3A10E"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74669084" w14:textId="77777777" w:rsidR="003D5F06" w:rsidRPr="00E31165" w:rsidRDefault="003D5F06" w:rsidP="001C753A">
            <w:pPr>
              <w:rPr>
                <w:rFonts w:ascii="Times New Roman" w:hAnsi="Times New Roman" w:cs="Times New Roman"/>
                <w:b/>
                <w:bCs/>
                <w:color w:val="000000" w:themeColor="text1"/>
              </w:rPr>
            </w:pPr>
          </w:p>
        </w:tc>
      </w:tr>
      <w:tr w:rsidR="003D5F06" w14:paraId="23899FEC" w14:textId="77777777" w:rsidTr="001C753A">
        <w:trPr>
          <w:trHeight w:val="397"/>
        </w:trPr>
        <w:tc>
          <w:tcPr>
            <w:tcW w:w="2405" w:type="dxa"/>
            <w:shd w:val="clear" w:color="auto" w:fill="FFFFFF" w:themeFill="background1"/>
          </w:tcPr>
          <w:p w14:paraId="5F5D5578"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1AA4BB4E"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3CB26997" w14:textId="77777777" w:rsidR="003D5F06" w:rsidRPr="00E31165" w:rsidRDefault="003D5F06" w:rsidP="001C753A">
            <w:pPr>
              <w:rPr>
                <w:rFonts w:ascii="Times New Roman" w:hAnsi="Times New Roman" w:cs="Times New Roman"/>
                <w:b/>
                <w:bCs/>
                <w:color w:val="000000" w:themeColor="text1"/>
              </w:rPr>
            </w:pPr>
          </w:p>
        </w:tc>
      </w:tr>
      <w:tr w:rsidR="003D5F06" w14:paraId="67BC3656" w14:textId="77777777" w:rsidTr="001C753A">
        <w:trPr>
          <w:trHeight w:val="397"/>
        </w:trPr>
        <w:tc>
          <w:tcPr>
            <w:tcW w:w="2405" w:type="dxa"/>
            <w:shd w:val="clear" w:color="auto" w:fill="FFFFFF" w:themeFill="background1"/>
          </w:tcPr>
          <w:p w14:paraId="420E1B17"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323223F6"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489A6FB4" w14:textId="77777777" w:rsidR="003D5F06" w:rsidRPr="00E31165" w:rsidRDefault="003D5F06" w:rsidP="001C753A">
            <w:pPr>
              <w:rPr>
                <w:rFonts w:ascii="Times New Roman" w:hAnsi="Times New Roman" w:cs="Times New Roman"/>
                <w:b/>
                <w:bCs/>
                <w:color w:val="000000" w:themeColor="text1"/>
              </w:rPr>
            </w:pPr>
          </w:p>
        </w:tc>
      </w:tr>
      <w:tr w:rsidR="003D5F06" w14:paraId="0700B809" w14:textId="77777777" w:rsidTr="001C753A">
        <w:trPr>
          <w:trHeight w:val="397"/>
        </w:trPr>
        <w:tc>
          <w:tcPr>
            <w:tcW w:w="2405" w:type="dxa"/>
            <w:shd w:val="clear" w:color="auto" w:fill="FFFFFF" w:themeFill="background1"/>
          </w:tcPr>
          <w:p w14:paraId="50230845"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6B011F1F"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2513E339" w14:textId="77777777" w:rsidR="003D5F06" w:rsidRPr="00E31165" w:rsidRDefault="003D5F06" w:rsidP="001C753A">
            <w:pPr>
              <w:rPr>
                <w:rFonts w:ascii="Times New Roman" w:hAnsi="Times New Roman" w:cs="Times New Roman"/>
                <w:b/>
                <w:bCs/>
                <w:color w:val="000000" w:themeColor="text1"/>
              </w:rPr>
            </w:pPr>
          </w:p>
        </w:tc>
      </w:tr>
      <w:tr w:rsidR="003D5F06" w14:paraId="0A2226EC" w14:textId="77777777" w:rsidTr="001C753A">
        <w:trPr>
          <w:trHeight w:val="397"/>
        </w:trPr>
        <w:tc>
          <w:tcPr>
            <w:tcW w:w="2405" w:type="dxa"/>
            <w:shd w:val="clear" w:color="auto" w:fill="FFFFFF" w:themeFill="background1"/>
          </w:tcPr>
          <w:p w14:paraId="02462247"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579DBE61"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599D7F1B" w14:textId="77777777" w:rsidR="003D5F06" w:rsidRPr="00E31165" w:rsidRDefault="003D5F06" w:rsidP="001C753A">
            <w:pPr>
              <w:rPr>
                <w:rFonts w:ascii="Times New Roman" w:hAnsi="Times New Roman" w:cs="Times New Roman"/>
                <w:b/>
                <w:bCs/>
                <w:color w:val="000000" w:themeColor="text1"/>
              </w:rPr>
            </w:pPr>
          </w:p>
        </w:tc>
      </w:tr>
      <w:tr w:rsidR="003D5F06" w14:paraId="0D2301F6" w14:textId="77777777" w:rsidTr="001C753A">
        <w:trPr>
          <w:trHeight w:val="397"/>
        </w:trPr>
        <w:tc>
          <w:tcPr>
            <w:tcW w:w="2405" w:type="dxa"/>
            <w:shd w:val="clear" w:color="auto" w:fill="FFFFFF" w:themeFill="background1"/>
          </w:tcPr>
          <w:p w14:paraId="052C094D"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056D74E4"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5329FEDB" w14:textId="77777777" w:rsidR="003D5F06" w:rsidRPr="00E31165" w:rsidRDefault="003D5F06" w:rsidP="001C753A">
            <w:pPr>
              <w:rPr>
                <w:rFonts w:ascii="Times New Roman" w:hAnsi="Times New Roman" w:cs="Times New Roman"/>
                <w:b/>
                <w:bCs/>
                <w:color w:val="000000" w:themeColor="text1"/>
              </w:rPr>
            </w:pPr>
          </w:p>
        </w:tc>
      </w:tr>
      <w:tr w:rsidR="003D5F06" w14:paraId="1612D321" w14:textId="77777777" w:rsidTr="001C753A">
        <w:trPr>
          <w:trHeight w:val="397"/>
        </w:trPr>
        <w:tc>
          <w:tcPr>
            <w:tcW w:w="2405" w:type="dxa"/>
            <w:shd w:val="clear" w:color="auto" w:fill="FFFFFF" w:themeFill="background1"/>
          </w:tcPr>
          <w:p w14:paraId="71C8E0F2"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426A974E"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0E3B5AB0" w14:textId="77777777" w:rsidR="003D5F06" w:rsidRPr="00E31165" w:rsidRDefault="003D5F06" w:rsidP="001C753A">
            <w:pPr>
              <w:rPr>
                <w:rFonts w:ascii="Times New Roman" w:hAnsi="Times New Roman" w:cs="Times New Roman"/>
                <w:b/>
                <w:bCs/>
                <w:color w:val="000000" w:themeColor="text1"/>
              </w:rPr>
            </w:pPr>
          </w:p>
        </w:tc>
      </w:tr>
      <w:tr w:rsidR="003D5F06" w14:paraId="64867371" w14:textId="77777777" w:rsidTr="001C753A">
        <w:trPr>
          <w:trHeight w:val="397"/>
        </w:trPr>
        <w:tc>
          <w:tcPr>
            <w:tcW w:w="2405" w:type="dxa"/>
            <w:shd w:val="clear" w:color="auto" w:fill="FFFFFF" w:themeFill="background1"/>
          </w:tcPr>
          <w:p w14:paraId="52B4912F"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7432962E"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53B8684F" w14:textId="77777777" w:rsidR="003D5F06" w:rsidRPr="00E31165" w:rsidRDefault="003D5F06" w:rsidP="001C753A">
            <w:pPr>
              <w:rPr>
                <w:rFonts w:ascii="Times New Roman" w:hAnsi="Times New Roman" w:cs="Times New Roman"/>
                <w:b/>
                <w:bCs/>
                <w:color w:val="000000" w:themeColor="text1"/>
              </w:rPr>
            </w:pPr>
          </w:p>
        </w:tc>
      </w:tr>
      <w:tr w:rsidR="003D5F06" w14:paraId="424F14C3" w14:textId="77777777" w:rsidTr="001C753A">
        <w:trPr>
          <w:trHeight w:val="397"/>
        </w:trPr>
        <w:tc>
          <w:tcPr>
            <w:tcW w:w="2405" w:type="dxa"/>
            <w:shd w:val="clear" w:color="auto" w:fill="FFFFFF" w:themeFill="background1"/>
          </w:tcPr>
          <w:p w14:paraId="6B3A4D83"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36BC8118"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78B13BC6" w14:textId="77777777" w:rsidR="003D5F06" w:rsidRPr="00E31165" w:rsidRDefault="003D5F06" w:rsidP="001C753A">
            <w:pPr>
              <w:rPr>
                <w:rFonts w:ascii="Times New Roman" w:hAnsi="Times New Roman" w:cs="Times New Roman"/>
                <w:b/>
                <w:bCs/>
                <w:color w:val="000000" w:themeColor="text1"/>
              </w:rPr>
            </w:pPr>
          </w:p>
        </w:tc>
      </w:tr>
      <w:tr w:rsidR="003D5F06" w14:paraId="6E64871B" w14:textId="77777777" w:rsidTr="001C753A">
        <w:trPr>
          <w:trHeight w:val="397"/>
        </w:trPr>
        <w:tc>
          <w:tcPr>
            <w:tcW w:w="2405" w:type="dxa"/>
            <w:shd w:val="clear" w:color="auto" w:fill="FFFFFF" w:themeFill="background1"/>
          </w:tcPr>
          <w:p w14:paraId="38782006"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7371608A"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5F919095" w14:textId="77777777" w:rsidR="003D5F06" w:rsidRPr="00E31165" w:rsidRDefault="003D5F06" w:rsidP="001C753A">
            <w:pPr>
              <w:rPr>
                <w:rFonts w:ascii="Times New Roman" w:hAnsi="Times New Roman" w:cs="Times New Roman"/>
                <w:b/>
                <w:bCs/>
                <w:color w:val="000000" w:themeColor="text1"/>
              </w:rPr>
            </w:pPr>
          </w:p>
        </w:tc>
      </w:tr>
      <w:tr w:rsidR="005A1446" w14:paraId="37DA6DDF" w14:textId="77777777" w:rsidTr="001C753A">
        <w:trPr>
          <w:trHeight w:val="397"/>
        </w:trPr>
        <w:tc>
          <w:tcPr>
            <w:tcW w:w="2405" w:type="dxa"/>
            <w:shd w:val="clear" w:color="auto" w:fill="FFFFFF" w:themeFill="background1"/>
          </w:tcPr>
          <w:p w14:paraId="73B1BAFC" w14:textId="77777777" w:rsidR="005A1446" w:rsidRPr="00E31165" w:rsidRDefault="005A1446" w:rsidP="001C753A">
            <w:pPr>
              <w:rPr>
                <w:rFonts w:ascii="Times New Roman" w:hAnsi="Times New Roman" w:cs="Times New Roman"/>
                <w:b/>
                <w:bCs/>
                <w:color w:val="000000" w:themeColor="text1"/>
              </w:rPr>
            </w:pPr>
          </w:p>
        </w:tc>
        <w:tc>
          <w:tcPr>
            <w:tcW w:w="4111" w:type="dxa"/>
            <w:shd w:val="clear" w:color="auto" w:fill="FFFFFF" w:themeFill="background1"/>
          </w:tcPr>
          <w:p w14:paraId="045F578D" w14:textId="77777777" w:rsidR="005A1446" w:rsidRPr="00E31165" w:rsidRDefault="005A1446" w:rsidP="001C753A">
            <w:pPr>
              <w:rPr>
                <w:rFonts w:ascii="Times New Roman" w:hAnsi="Times New Roman" w:cs="Times New Roman"/>
                <w:b/>
                <w:bCs/>
                <w:color w:val="000000" w:themeColor="text1"/>
              </w:rPr>
            </w:pPr>
          </w:p>
        </w:tc>
        <w:tc>
          <w:tcPr>
            <w:tcW w:w="2693" w:type="dxa"/>
            <w:shd w:val="clear" w:color="auto" w:fill="FFFFFF" w:themeFill="background1"/>
          </w:tcPr>
          <w:p w14:paraId="58AE7564" w14:textId="77777777" w:rsidR="005A1446" w:rsidRPr="00E31165" w:rsidRDefault="005A1446" w:rsidP="001C753A">
            <w:pPr>
              <w:rPr>
                <w:rFonts w:ascii="Times New Roman" w:hAnsi="Times New Roman" w:cs="Times New Roman"/>
                <w:b/>
                <w:bCs/>
                <w:color w:val="000000" w:themeColor="text1"/>
              </w:rPr>
            </w:pPr>
          </w:p>
        </w:tc>
      </w:tr>
      <w:tr w:rsidR="005A1446" w14:paraId="27ECFECF" w14:textId="77777777" w:rsidTr="001C753A">
        <w:trPr>
          <w:trHeight w:val="397"/>
        </w:trPr>
        <w:tc>
          <w:tcPr>
            <w:tcW w:w="2405" w:type="dxa"/>
            <w:shd w:val="clear" w:color="auto" w:fill="FFFFFF" w:themeFill="background1"/>
          </w:tcPr>
          <w:p w14:paraId="50C249CA" w14:textId="77777777" w:rsidR="005A1446" w:rsidRPr="00E31165" w:rsidRDefault="005A1446" w:rsidP="001C753A">
            <w:pPr>
              <w:rPr>
                <w:rFonts w:ascii="Times New Roman" w:hAnsi="Times New Roman" w:cs="Times New Roman"/>
                <w:b/>
                <w:bCs/>
                <w:color w:val="000000" w:themeColor="text1"/>
              </w:rPr>
            </w:pPr>
          </w:p>
        </w:tc>
        <w:tc>
          <w:tcPr>
            <w:tcW w:w="4111" w:type="dxa"/>
            <w:shd w:val="clear" w:color="auto" w:fill="FFFFFF" w:themeFill="background1"/>
          </w:tcPr>
          <w:p w14:paraId="4895B06F" w14:textId="77777777" w:rsidR="005A1446" w:rsidRPr="00E31165" w:rsidRDefault="005A1446" w:rsidP="001C753A">
            <w:pPr>
              <w:rPr>
                <w:rFonts w:ascii="Times New Roman" w:hAnsi="Times New Roman" w:cs="Times New Roman"/>
                <w:b/>
                <w:bCs/>
                <w:color w:val="000000" w:themeColor="text1"/>
              </w:rPr>
            </w:pPr>
          </w:p>
        </w:tc>
        <w:tc>
          <w:tcPr>
            <w:tcW w:w="2693" w:type="dxa"/>
            <w:shd w:val="clear" w:color="auto" w:fill="FFFFFF" w:themeFill="background1"/>
          </w:tcPr>
          <w:p w14:paraId="319E7B4D" w14:textId="77777777" w:rsidR="005A1446" w:rsidRPr="00E31165" w:rsidRDefault="005A1446" w:rsidP="001C753A">
            <w:pPr>
              <w:rPr>
                <w:rFonts w:ascii="Times New Roman" w:hAnsi="Times New Roman" w:cs="Times New Roman"/>
                <w:b/>
                <w:bCs/>
                <w:color w:val="000000" w:themeColor="text1"/>
              </w:rPr>
            </w:pPr>
          </w:p>
        </w:tc>
      </w:tr>
      <w:tr w:rsidR="005A1446" w14:paraId="754AA6A6" w14:textId="77777777" w:rsidTr="001C753A">
        <w:trPr>
          <w:trHeight w:val="397"/>
        </w:trPr>
        <w:tc>
          <w:tcPr>
            <w:tcW w:w="2405" w:type="dxa"/>
            <w:shd w:val="clear" w:color="auto" w:fill="FFFFFF" w:themeFill="background1"/>
          </w:tcPr>
          <w:p w14:paraId="4FB72615" w14:textId="77777777" w:rsidR="005A1446" w:rsidRPr="00E31165" w:rsidRDefault="005A1446" w:rsidP="001C753A">
            <w:pPr>
              <w:rPr>
                <w:rFonts w:ascii="Times New Roman" w:hAnsi="Times New Roman" w:cs="Times New Roman"/>
                <w:b/>
                <w:bCs/>
                <w:color w:val="000000" w:themeColor="text1"/>
              </w:rPr>
            </w:pPr>
          </w:p>
        </w:tc>
        <w:tc>
          <w:tcPr>
            <w:tcW w:w="4111" w:type="dxa"/>
            <w:shd w:val="clear" w:color="auto" w:fill="FFFFFF" w:themeFill="background1"/>
          </w:tcPr>
          <w:p w14:paraId="403CC8F9" w14:textId="77777777" w:rsidR="005A1446" w:rsidRPr="00E31165" w:rsidRDefault="005A1446" w:rsidP="001C753A">
            <w:pPr>
              <w:rPr>
                <w:rFonts w:ascii="Times New Roman" w:hAnsi="Times New Roman" w:cs="Times New Roman"/>
                <w:b/>
                <w:bCs/>
                <w:color w:val="000000" w:themeColor="text1"/>
              </w:rPr>
            </w:pPr>
          </w:p>
        </w:tc>
        <w:tc>
          <w:tcPr>
            <w:tcW w:w="2693" w:type="dxa"/>
            <w:shd w:val="clear" w:color="auto" w:fill="FFFFFF" w:themeFill="background1"/>
          </w:tcPr>
          <w:p w14:paraId="76F6CE06" w14:textId="77777777" w:rsidR="005A1446" w:rsidRPr="00E31165" w:rsidRDefault="005A1446" w:rsidP="001C753A">
            <w:pPr>
              <w:rPr>
                <w:rFonts w:ascii="Times New Roman" w:hAnsi="Times New Roman" w:cs="Times New Roman"/>
                <w:b/>
                <w:bCs/>
                <w:color w:val="000000" w:themeColor="text1"/>
              </w:rPr>
            </w:pPr>
          </w:p>
        </w:tc>
      </w:tr>
      <w:tr w:rsidR="005A1446" w14:paraId="2292FD9F" w14:textId="77777777" w:rsidTr="001C753A">
        <w:trPr>
          <w:trHeight w:val="397"/>
        </w:trPr>
        <w:tc>
          <w:tcPr>
            <w:tcW w:w="2405" w:type="dxa"/>
            <w:shd w:val="clear" w:color="auto" w:fill="FFFFFF" w:themeFill="background1"/>
          </w:tcPr>
          <w:p w14:paraId="356E79A8" w14:textId="77777777" w:rsidR="005A1446" w:rsidRPr="00E31165" w:rsidRDefault="005A1446" w:rsidP="001C753A">
            <w:pPr>
              <w:rPr>
                <w:rFonts w:ascii="Times New Roman" w:hAnsi="Times New Roman" w:cs="Times New Roman"/>
                <w:b/>
                <w:bCs/>
                <w:color w:val="000000" w:themeColor="text1"/>
              </w:rPr>
            </w:pPr>
          </w:p>
        </w:tc>
        <w:tc>
          <w:tcPr>
            <w:tcW w:w="4111" w:type="dxa"/>
            <w:shd w:val="clear" w:color="auto" w:fill="FFFFFF" w:themeFill="background1"/>
          </w:tcPr>
          <w:p w14:paraId="6A3DF69F" w14:textId="77777777" w:rsidR="005A1446" w:rsidRPr="00E31165" w:rsidRDefault="005A1446" w:rsidP="001C753A">
            <w:pPr>
              <w:rPr>
                <w:rFonts w:ascii="Times New Roman" w:hAnsi="Times New Roman" w:cs="Times New Roman"/>
                <w:b/>
                <w:bCs/>
                <w:color w:val="000000" w:themeColor="text1"/>
              </w:rPr>
            </w:pPr>
          </w:p>
        </w:tc>
        <w:tc>
          <w:tcPr>
            <w:tcW w:w="2693" w:type="dxa"/>
            <w:shd w:val="clear" w:color="auto" w:fill="FFFFFF" w:themeFill="background1"/>
          </w:tcPr>
          <w:p w14:paraId="662B34BC" w14:textId="77777777" w:rsidR="005A1446" w:rsidRPr="00E31165" w:rsidRDefault="005A1446" w:rsidP="001C753A">
            <w:pPr>
              <w:rPr>
                <w:rFonts w:ascii="Times New Roman" w:hAnsi="Times New Roman" w:cs="Times New Roman"/>
                <w:b/>
                <w:bCs/>
                <w:color w:val="000000" w:themeColor="text1"/>
              </w:rPr>
            </w:pPr>
          </w:p>
        </w:tc>
      </w:tr>
      <w:tr w:rsidR="005A1446" w14:paraId="75571731" w14:textId="77777777" w:rsidTr="001C753A">
        <w:trPr>
          <w:trHeight w:val="397"/>
        </w:trPr>
        <w:tc>
          <w:tcPr>
            <w:tcW w:w="2405" w:type="dxa"/>
            <w:shd w:val="clear" w:color="auto" w:fill="FFFFFF" w:themeFill="background1"/>
          </w:tcPr>
          <w:p w14:paraId="43852F27" w14:textId="77777777" w:rsidR="005A1446" w:rsidRPr="00E31165" w:rsidRDefault="005A1446" w:rsidP="001C753A">
            <w:pPr>
              <w:rPr>
                <w:rFonts w:ascii="Times New Roman" w:hAnsi="Times New Roman" w:cs="Times New Roman"/>
                <w:b/>
                <w:bCs/>
                <w:color w:val="000000" w:themeColor="text1"/>
              </w:rPr>
            </w:pPr>
          </w:p>
        </w:tc>
        <w:tc>
          <w:tcPr>
            <w:tcW w:w="4111" w:type="dxa"/>
            <w:shd w:val="clear" w:color="auto" w:fill="FFFFFF" w:themeFill="background1"/>
          </w:tcPr>
          <w:p w14:paraId="676EC3CE" w14:textId="77777777" w:rsidR="005A1446" w:rsidRPr="00E31165" w:rsidRDefault="005A1446" w:rsidP="001C753A">
            <w:pPr>
              <w:rPr>
                <w:rFonts w:ascii="Times New Roman" w:hAnsi="Times New Roman" w:cs="Times New Roman"/>
                <w:b/>
                <w:bCs/>
                <w:color w:val="000000" w:themeColor="text1"/>
              </w:rPr>
            </w:pPr>
          </w:p>
        </w:tc>
        <w:tc>
          <w:tcPr>
            <w:tcW w:w="2693" w:type="dxa"/>
            <w:shd w:val="clear" w:color="auto" w:fill="FFFFFF" w:themeFill="background1"/>
          </w:tcPr>
          <w:p w14:paraId="1F5AB178" w14:textId="77777777" w:rsidR="005A1446" w:rsidRPr="00E31165" w:rsidRDefault="005A1446" w:rsidP="001C753A">
            <w:pPr>
              <w:rPr>
                <w:rFonts w:ascii="Times New Roman" w:hAnsi="Times New Roman" w:cs="Times New Roman"/>
                <w:b/>
                <w:bCs/>
                <w:color w:val="000000" w:themeColor="text1"/>
              </w:rPr>
            </w:pPr>
          </w:p>
        </w:tc>
      </w:tr>
      <w:tr w:rsidR="005A1446" w14:paraId="69914280" w14:textId="77777777" w:rsidTr="001C753A">
        <w:trPr>
          <w:trHeight w:val="397"/>
        </w:trPr>
        <w:tc>
          <w:tcPr>
            <w:tcW w:w="2405" w:type="dxa"/>
            <w:shd w:val="clear" w:color="auto" w:fill="FFFFFF" w:themeFill="background1"/>
          </w:tcPr>
          <w:p w14:paraId="74042438" w14:textId="77777777" w:rsidR="005A1446" w:rsidRPr="00E31165" w:rsidRDefault="005A1446" w:rsidP="001C753A">
            <w:pPr>
              <w:rPr>
                <w:rFonts w:ascii="Times New Roman" w:hAnsi="Times New Roman" w:cs="Times New Roman"/>
                <w:b/>
                <w:bCs/>
                <w:color w:val="000000" w:themeColor="text1"/>
              </w:rPr>
            </w:pPr>
          </w:p>
        </w:tc>
        <w:tc>
          <w:tcPr>
            <w:tcW w:w="4111" w:type="dxa"/>
            <w:shd w:val="clear" w:color="auto" w:fill="FFFFFF" w:themeFill="background1"/>
          </w:tcPr>
          <w:p w14:paraId="5DEE6836" w14:textId="77777777" w:rsidR="005A1446" w:rsidRPr="00E31165" w:rsidRDefault="005A1446" w:rsidP="001C753A">
            <w:pPr>
              <w:rPr>
                <w:rFonts w:ascii="Times New Roman" w:hAnsi="Times New Roman" w:cs="Times New Roman"/>
                <w:b/>
                <w:bCs/>
                <w:color w:val="000000" w:themeColor="text1"/>
              </w:rPr>
            </w:pPr>
          </w:p>
        </w:tc>
        <w:tc>
          <w:tcPr>
            <w:tcW w:w="2693" w:type="dxa"/>
            <w:shd w:val="clear" w:color="auto" w:fill="FFFFFF" w:themeFill="background1"/>
          </w:tcPr>
          <w:p w14:paraId="1E20C0CD" w14:textId="77777777" w:rsidR="005A1446" w:rsidRPr="00E31165" w:rsidRDefault="005A1446" w:rsidP="001C753A">
            <w:pPr>
              <w:rPr>
                <w:rFonts w:ascii="Times New Roman" w:hAnsi="Times New Roman" w:cs="Times New Roman"/>
                <w:b/>
                <w:bCs/>
                <w:color w:val="000000" w:themeColor="text1"/>
              </w:rPr>
            </w:pPr>
          </w:p>
        </w:tc>
      </w:tr>
      <w:tr w:rsidR="005A1446" w14:paraId="31388DEA" w14:textId="77777777" w:rsidTr="001C753A">
        <w:trPr>
          <w:trHeight w:val="397"/>
        </w:trPr>
        <w:tc>
          <w:tcPr>
            <w:tcW w:w="2405" w:type="dxa"/>
            <w:shd w:val="clear" w:color="auto" w:fill="FFFFFF" w:themeFill="background1"/>
          </w:tcPr>
          <w:p w14:paraId="2BAACAB2" w14:textId="77777777" w:rsidR="005A1446" w:rsidRPr="00E31165" w:rsidRDefault="005A1446" w:rsidP="001C753A">
            <w:pPr>
              <w:rPr>
                <w:rFonts w:ascii="Times New Roman" w:hAnsi="Times New Roman" w:cs="Times New Roman"/>
                <w:b/>
                <w:bCs/>
                <w:color w:val="000000" w:themeColor="text1"/>
              </w:rPr>
            </w:pPr>
          </w:p>
        </w:tc>
        <w:tc>
          <w:tcPr>
            <w:tcW w:w="4111" w:type="dxa"/>
            <w:shd w:val="clear" w:color="auto" w:fill="FFFFFF" w:themeFill="background1"/>
          </w:tcPr>
          <w:p w14:paraId="522ED4CC" w14:textId="77777777" w:rsidR="005A1446" w:rsidRPr="00E31165" w:rsidRDefault="005A1446" w:rsidP="001C753A">
            <w:pPr>
              <w:rPr>
                <w:rFonts w:ascii="Times New Roman" w:hAnsi="Times New Roman" w:cs="Times New Roman"/>
                <w:b/>
                <w:bCs/>
                <w:color w:val="000000" w:themeColor="text1"/>
              </w:rPr>
            </w:pPr>
          </w:p>
        </w:tc>
        <w:tc>
          <w:tcPr>
            <w:tcW w:w="2693" w:type="dxa"/>
            <w:shd w:val="clear" w:color="auto" w:fill="FFFFFF" w:themeFill="background1"/>
          </w:tcPr>
          <w:p w14:paraId="69A6708C" w14:textId="77777777" w:rsidR="005A1446" w:rsidRPr="00E31165" w:rsidRDefault="005A1446" w:rsidP="001C753A">
            <w:pPr>
              <w:rPr>
                <w:rFonts w:ascii="Times New Roman" w:hAnsi="Times New Roman" w:cs="Times New Roman"/>
                <w:b/>
                <w:bCs/>
                <w:color w:val="000000" w:themeColor="text1"/>
              </w:rPr>
            </w:pPr>
          </w:p>
        </w:tc>
      </w:tr>
      <w:tr w:rsidR="005A1446" w14:paraId="6C9EE970" w14:textId="77777777" w:rsidTr="001C753A">
        <w:trPr>
          <w:trHeight w:val="397"/>
        </w:trPr>
        <w:tc>
          <w:tcPr>
            <w:tcW w:w="2405" w:type="dxa"/>
            <w:shd w:val="clear" w:color="auto" w:fill="FFFFFF" w:themeFill="background1"/>
          </w:tcPr>
          <w:p w14:paraId="32D1648D" w14:textId="77777777" w:rsidR="005A1446" w:rsidRPr="00E31165" w:rsidRDefault="005A1446" w:rsidP="001C753A">
            <w:pPr>
              <w:rPr>
                <w:rFonts w:ascii="Times New Roman" w:hAnsi="Times New Roman" w:cs="Times New Roman"/>
                <w:b/>
                <w:bCs/>
                <w:color w:val="000000" w:themeColor="text1"/>
              </w:rPr>
            </w:pPr>
          </w:p>
        </w:tc>
        <w:tc>
          <w:tcPr>
            <w:tcW w:w="4111" w:type="dxa"/>
            <w:shd w:val="clear" w:color="auto" w:fill="FFFFFF" w:themeFill="background1"/>
          </w:tcPr>
          <w:p w14:paraId="260B53DC" w14:textId="77777777" w:rsidR="005A1446" w:rsidRPr="00E31165" w:rsidRDefault="005A1446" w:rsidP="001C753A">
            <w:pPr>
              <w:rPr>
                <w:rFonts w:ascii="Times New Roman" w:hAnsi="Times New Roman" w:cs="Times New Roman"/>
                <w:b/>
                <w:bCs/>
                <w:color w:val="000000" w:themeColor="text1"/>
              </w:rPr>
            </w:pPr>
          </w:p>
        </w:tc>
        <w:tc>
          <w:tcPr>
            <w:tcW w:w="2693" w:type="dxa"/>
            <w:shd w:val="clear" w:color="auto" w:fill="FFFFFF" w:themeFill="background1"/>
          </w:tcPr>
          <w:p w14:paraId="1B9CE236" w14:textId="77777777" w:rsidR="005A1446" w:rsidRPr="00E31165" w:rsidRDefault="005A1446" w:rsidP="001C753A">
            <w:pPr>
              <w:rPr>
                <w:rFonts w:ascii="Times New Roman" w:hAnsi="Times New Roman" w:cs="Times New Roman"/>
                <w:b/>
                <w:bCs/>
                <w:color w:val="000000" w:themeColor="text1"/>
              </w:rPr>
            </w:pPr>
          </w:p>
        </w:tc>
      </w:tr>
      <w:tr w:rsidR="005A1446" w14:paraId="18B27AF9" w14:textId="77777777" w:rsidTr="001C753A">
        <w:trPr>
          <w:trHeight w:val="397"/>
        </w:trPr>
        <w:tc>
          <w:tcPr>
            <w:tcW w:w="2405" w:type="dxa"/>
            <w:shd w:val="clear" w:color="auto" w:fill="FFFFFF" w:themeFill="background1"/>
          </w:tcPr>
          <w:p w14:paraId="4009B842" w14:textId="77777777" w:rsidR="005A1446" w:rsidRPr="00E31165" w:rsidRDefault="005A1446" w:rsidP="001C753A">
            <w:pPr>
              <w:rPr>
                <w:rFonts w:ascii="Times New Roman" w:hAnsi="Times New Roman" w:cs="Times New Roman"/>
                <w:b/>
                <w:bCs/>
                <w:color w:val="000000" w:themeColor="text1"/>
              </w:rPr>
            </w:pPr>
          </w:p>
        </w:tc>
        <w:tc>
          <w:tcPr>
            <w:tcW w:w="4111" w:type="dxa"/>
            <w:shd w:val="clear" w:color="auto" w:fill="FFFFFF" w:themeFill="background1"/>
          </w:tcPr>
          <w:p w14:paraId="4FEE95D1" w14:textId="77777777" w:rsidR="005A1446" w:rsidRPr="00E31165" w:rsidRDefault="005A1446" w:rsidP="001C753A">
            <w:pPr>
              <w:rPr>
                <w:rFonts w:ascii="Times New Roman" w:hAnsi="Times New Roman" w:cs="Times New Roman"/>
                <w:b/>
                <w:bCs/>
                <w:color w:val="000000" w:themeColor="text1"/>
              </w:rPr>
            </w:pPr>
          </w:p>
        </w:tc>
        <w:tc>
          <w:tcPr>
            <w:tcW w:w="2693" w:type="dxa"/>
            <w:shd w:val="clear" w:color="auto" w:fill="FFFFFF" w:themeFill="background1"/>
          </w:tcPr>
          <w:p w14:paraId="0EF6449A" w14:textId="77777777" w:rsidR="005A1446" w:rsidRPr="00E31165" w:rsidRDefault="005A1446" w:rsidP="001C753A">
            <w:pPr>
              <w:rPr>
                <w:rFonts w:ascii="Times New Roman" w:hAnsi="Times New Roman" w:cs="Times New Roman"/>
                <w:b/>
                <w:bCs/>
                <w:color w:val="000000" w:themeColor="text1"/>
              </w:rPr>
            </w:pPr>
          </w:p>
        </w:tc>
      </w:tr>
      <w:tr w:rsidR="003D5F06" w14:paraId="0F4B013E" w14:textId="77777777" w:rsidTr="001C753A">
        <w:trPr>
          <w:trHeight w:val="397"/>
        </w:trPr>
        <w:tc>
          <w:tcPr>
            <w:tcW w:w="2405" w:type="dxa"/>
            <w:shd w:val="clear" w:color="auto" w:fill="FFFFFF" w:themeFill="background1"/>
          </w:tcPr>
          <w:p w14:paraId="6EDC642A" w14:textId="77777777" w:rsidR="003D5F06" w:rsidRPr="00E31165" w:rsidRDefault="003D5F06" w:rsidP="001C753A">
            <w:pPr>
              <w:rPr>
                <w:rFonts w:ascii="Times New Roman" w:hAnsi="Times New Roman" w:cs="Times New Roman"/>
                <w:b/>
                <w:bCs/>
                <w:color w:val="000000" w:themeColor="text1"/>
              </w:rPr>
            </w:pPr>
          </w:p>
        </w:tc>
        <w:tc>
          <w:tcPr>
            <w:tcW w:w="4111" w:type="dxa"/>
            <w:shd w:val="clear" w:color="auto" w:fill="FFFFFF" w:themeFill="background1"/>
          </w:tcPr>
          <w:p w14:paraId="17FB8B9B" w14:textId="77777777" w:rsidR="003D5F06" w:rsidRPr="00E31165" w:rsidRDefault="003D5F06" w:rsidP="001C753A">
            <w:pPr>
              <w:rPr>
                <w:rFonts w:ascii="Times New Roman" w:hAnsi="Times New Roman" w:cs="Times New Roman"/>
                <w:b/>
                <w:bCs/>
                <w:color w:val="000000" w:themeColor="text1"/>
              </w:rPr>
            </w:pPr>
          </w:p>
        </w:tc>
        <w:tc>
          <w:tcPr>
            <w:tcW w:w="2693" w:type="dxa"/>
            <w:shd w:val="clear" w:color="auto" w:fill="FFFFFF" w:themeFill="background1"/>
          </w:tcPr>
          <w:p w14:paraId="282785F6" w14:textId="77777777" w:rsidR="003D5F06" w:rsidRPr="00E31165" w:rsidRDefault="003D5F06" w:rsidP="001C753A">
            <w:pPr>
              <w:rPr>
                <w:rFonts w:ascii="Times New Roman" w:hAnsi="Times New Roman" w:cs="Times New Roman"/>
                <w:b/>
                <w:bCs/>
                <w:color w:val="000000" w:themeColor="text1"/>
              </w:rPr>
            </w:pPr>
          </w:p>
        </w:tc>
      </w:tr>
      <w:bookmarkEnd w:id="63"/>
      <w:bookmarkEnd w:id="64"/>
      <w:bookmarkEnd w:id="65"/>
    </w:tbl>
    <w:p w14:paraId="090C8FCE" w14:textId="77777777" w:rsidR="003D5F06" w:rsidRPr="00F72A72" w:rsidRDefault="003D5F06" w:rsidP="00F72A72">
      <w:pPr>
        <w:pStyle w:val="text1"/>
      </w:pPr>
    </w:p>
    <w:sectPr w:rsidR="003D5F06" w:rsidRPr="00F72A72" w:rsidSect="00D33552">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4DD3" w14:textId="77777777" w:rsidR="008A5AB4" w:rsidRDefault="008A5AB4" w:rsidP="00D33552">
      <w:pPr>
        <w:spacing w:after="0" w:line="240" w:lineRule="auto"/>
      </w:pPr>
      <w:r>
        <w:separator/>
      </w:r>
    </w:p>
  </w:endnote>
  <w:endnote w:type="continuationSeparator" w:id="0">
    <w:p w14:paraId="3BD7B926" w14:textId="77777777" w:rsidR="008A5AB4" w:rsidRDefault="008A5AB4" w:rsidP="00D3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FAE4" w14:textId="67D893A6" w:rsidR="00D33552" w:rsidRDefault="00D33552">
    <w:pPr>
      <w:pStyle w:val="Zpat"/>
    </w:pPr>
    <w:r>
      <w:t xml:space="preserve">NOVASERVIS spol. s r.o. </w:t>
    </w:r>
    <w:r>
      <w:tab/>
    </w:r>
    <w:r>
      <w:tab/>
      <w:t xml:space="preserve">Platnost od: </w:t>
    </w:r>
    <w:r w:rsidR="00156D71">
      <w:t>10</w:t>
    </w:r>
    <w:r w:rsidR="00CB71F7">
      <w:t>.9.2025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094E" w14:textId="77777777" w:rsidR="008A5AB4" w:rsidRDefault="008A5AB4" w:rsidP="00D33552">
      <w:pPr>
        <w:spacing w:after="0" w:line="240" w:lineRule="auto"/>
      </w:pPr>
      <w:r>
        <w:separator/>
      </w:r>
    </w:p>
  </w:footnote>
  <w:footnote w:type="continuationSeparator" w:id="0">
    <w:p w14:paraId="390C523A" w14:textId="77777777" w:rsidR="008A5AB4" w:rsidRDefault="008A5AB4" w:rsidP="00D33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2FC2" w14:textId="44C18EEF" w:rsidR="00D33552" w:rsidRPr="00CB71F7" w:rsidRDefault="00D33552">
    <w:pPr>
      <w:pStyle w:val="Zhlav"/>
      <w:rPr>
        <w:rFonts w:cstheme="minorHAnsi"/>
      </w:rPr>
    </w:pPr>
    <w:r w:rsidRPr="00CB71F7">
      <w:rPr>
        <w:rFonts w:cstheme="minorHAnsi"/>
      </w:rPr>
      <w:t>S </w:t>
    </w:r>
    <w:r w:rsidR="00F2070A" w:rsidRPr="00CB71F7">
      <w:rPr>
        <w:rFonts w:cstheme="minorHAnsi"/>
      </w:rPr>
      <w:t>6</w:t>
    </w:r>
    <w:r w:rsidRPr="00CB71F7">
      <w:rPr>
        <w:rFonts w:cstheme="minorHAnsi"/>
      </w:rPr>
      <w:t>.2.-1</w:t>
    </w:r>
    <w:r w:rsidRPr="00CB71F7">
      <w:rPr>
        <w:rFonts w:cstheme="minorHAnsi"/>
      </w:rPr>
      <w:tab/>
      <w:t xml:space="preserve">Směrnice </w:t>
    </w:r>
    <w:r w:rsidR="00CB71F7" w:rsidRPr="00CB71F7">
      <w:rPr>
        <w:rFonts w:cstheme="minorHAnsi"/>
      </w:rPr>
      <w:t xml:space="preserve">pro interní oznamování společnosti </w:t>
    </w:r>
    <w:proofErr w:type="spellStart"/>
    <w:r w:rsidR="00CB71F7" w:rsidRPr="00CB71F7">
      <w:rPr>
        <w:rFonts w:cstheme="minorHAnsi"/>
      </w:rPr>
      <w:t>Novaservis</w:t>
    </w:r>
    <w:proofErr w:type="spellEnd"/>
    <w:r w:rsidR="00CB71F7" w:rsidRPr="00CB71F7">
      <w:rPr>
        <w:rFonts w:cstheme="minorHAnsi"/>
      </w:rPr>
      <w:t xml:space="preserve"> spol. s r.o.</w:t>
    </w:r>
    <w:r w:rsidRPr="00CB71F7">
      <w:rPr>
        <w:rFonts w:cstheme="minorHAnsi"/>
      </w:rPr>
      <w:tab/>
      <w:t xml:space="preserve">Stránka </w:t>
    </w:r>
    <w:r w:rsidRPr="00CB71F7">
      <w:rPr>
        <w:rFonts w:cstheme="minorHAnsi"/>
        <w:b/>
        <w:bCs/>
      </w:rPr>
      <w:fldChar w:fldCharType="begin"/>
    </w:r>
    <w:r w:rsidRPr="00CB71F7">
      <w:rPr>
        <w:rFonts w:cstheme="minorHAnsi"/>
        <w:b/>
        <w:bCs/>
      </w:rPr>
      <w:instrText>PAGE  \* Arabic  \* MERGEFORMAT</w:instrText>
    </w:r>
    <w:r w:rsidRPr="00CB71F7">
      <w:rPr>
        <w:rFonts w:cstheme="minorHAnsi"/>
        <w:b/>
        <w:bCs/>
      </w:rPr>
      <w:fldChar w:fldCharType="separate"/>
    </w:r>
    <w:r w:rsidRPr="00CB71F7">
      <w:rPr>
        <w:rFonts w:cstheme="minorHAnsi"/>
        <w:b/>
        <w:bCs/>
      </w:rPr>
      <w:t>1</w:t>
    </w:r>
    <w:r w:rsidRPr="00CB71F7">
      <w:rPr>
        <w:rFonts w:cstheme="minorHAnsi"/>
        <w:b/>
        <w:bCs/>
      </w:rPr>
      <w:fldChar w:fldCharType="end"/>
    </w:r>
    <w:r w:rsidRPr="00CB71F7">
      <w:rPr>
        <w:rFonts w:cstheme="minorHAnsi"/>
      </w:rPr>
      <w:t xml:space="preserve"> z </w:t>
    </w:r>
    <w:r w:rsidRPr="00CB71F7">
      <w:rPr>
        <w:rFonts w:cstheme="minorHAnsi"/>
        <w:b/>
        <w:bCs/>
      </w:rPr>
      <w:fldChar w:fldCharType="begin"/>
    </w:r>
    <w:r w:rsidRPr="00CB71F7">
      <w:rPr>
        <w:rFonts w:cstheme="minorHAnsi"/>
        <w:b/>
        <w:bCs/>
      </w:rPr>
      <w:instrText>NUMPAGES  \* Arabic  \* MERGEFORMAT</w:instrText>
    </w:r>
    <w:r w:rsidRPr="00CB71F7">
      <w:rPr>
        <w:rFonts w:cstheme="minorHAnsi"/>
        <w:b/>
        <w:bCs/>
      </w:rPr>
      <w:fldChar w:fldCharType="separate"/>
    </w:r>
    <w:r w:rsidRPr="00CB71F7">
      <w:rPr>
        <w:rFonts w:cstheme="minorHAnsi"/>
        <w:b/>
        <w:bCs/>
      </w:rPr>
      <w:t>2</w:t>
    </w:r>
    <w:r w:rsidRPr="00CB71F7">
      <w:rPr>
        <w:rFonts w:cstheme="minorHAnsi"/>
        <w:b/>
        <w:bCs/>
      </w:rPr>
      <w:fldChar w:fldCharType="end"/>
    </w:r>
  </w:p>
  <w:p w14:paraId="5F389A37" w14:textId="19812446" w:rsidR="00CB71F7" w:rsidRPr="00D863F2" w:rsidRDefault="00D33552">
    <w:pPr>
      <w:pStyle w:val="Zhlav"/>
      <w:rPr>
        <w:rFonts w:cstheme="minorHAnsi"/>
      </w:rPr>
    </w:pPr>
    <w:r w:rsidRPr="00CB71F7">
      <w:rPr>
        <w:rFonts w:cstheme="minorHAnsi"/>
      </w:rPr>
      <w:t xml:space="preserve">Verze: </w:t>
    </w:r>
    <w:r w:rsidR="00CB71F7">
      <w:rPr>
        <w:rFonts w:cstheme="minorHAns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5AC"/>
    <w:multiLevelType w:val="hybridMultilevel"/>
    <w:tmpl w:val="642C6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E23B7E"/>
    <w:multiLevelType w:val="multilevel"/>
    <w:tmpl w:val="37FC3244"/>
    <w:lvl w:ilvl="0">
      <w:start w:val="1"/>
      <w:numFmt w:val="decimal"/>
      <w:lvlRestart w:val="0"/>
      <w:pStyle w:val="H1"/>
      <w:lvlText w:val="%1."/>
      <w:lvlJc w:val="left"/>
      <w:pPr>
        <w:tabs>
          <w:tab w:val="num" w:pos="567"/>
        </w:tabs>
        <w:ind w:left="567" w:hanging="567"/>
      </w:pPr>
      <w:rPr>
        <w:rFonts w:hint="default"/>
      </w:rPr>
    </w:lvl>
    <w:lvl w:ilvl="1">
      <w:start w:val="1"/>
      <w:numFmt w:val="decimal"/>
      <w:pStyle w:val="H2"/>
      <w:lvlText w:val="%1.%2"/>
      <w:lvlJc w:val="left"/>
      <w:pPr>
        <w:tabs>
          <w:tab w:val="num" w:pos="567"/>
        </w:tabs>
        <w:ind w:left="567" w:hanging="567"/>
      </w:pPr>
      <w:rPr>
        <w:rFonts w:hint="default"/>
      </w:rPr>
    </w:lvl>
    <w:lvl w:ilvl="2">
      <w:start w:val="1"/>
      <w:numFmt w:val="decimal"/>
      <w:pStyle w:val="H3"/>
      <w:lvlText w:val="%1.%2.%3"/>
      <w:lvlJc w:val="left"/>
      <w:pPr>
        <w:tabs>
          <w:tab w:val="num" w:pos="850"/>
        </w:tabs>
        <w:ind w:left="1417" w:hanging="850"/>
      </w:pPr>
      <w:rPr>
        <w:rFonts w:hint="default"/>
      </w:rPr>
    </w:lvl>
    <w:lvl w:ilvl="3">
      <w:start w:val="1"/>
      <w:numFmt w:val="decimal"/>
      <w:pStyle w:val="H4"/>
      <w:lvlText w:val="%1.%2.%3.%4"/>
      <w:lvlJc w:val="left"/>
      <w:pPr>
        <w:tabs>
          <w:tab w:val="num" w:pos="2268"/>
        </w:tabs>
        <w:ind w:left="2268" w:hanging="850"/>
      </w:pPr>
      <w:rPr>
        <w:rFonts w:hint="default"/>
      </w:rPr>
    </w:lvl>
    <w:lvl w:ilvl="4">
      <w:start w:val="1"/>
      <w:numFmt w:val="lowerLetter"/>
      <w:pStyle w:val="H5"/>
      <w:lvlText w:val="(%5)"/>
      <w:lvlJc w:val="left"/>
      <w:pPr>
        <w:tabs>
          <w:tab w:val="num" w:pos="1417"/>
        </w:tabs>
        <w:ind w:left="1417" w:hanging="850"/>
      </w:pPr>
      <w:rPr>
        <w:rFonts w:hint="default"/>
        <w:b w:val="0"/>
      </w:rPr>
    </w:lvl>
    <w:lvl w:ilvl="5">
      <w:start w:val="1"/>
      <w:numFmt w:val="lowerRoman"/>
      <w:pStyle w:val="H6"/>
      <w:lvlText w:val="(%6)"/>
      <w:lvlJc w:val="left"/>
      <w:pPr>
        <w:tabs>
          <w:tab w:val="num" w:pos="1417"/>
        </w:tabs>
        <w:ind w:left="1417" w:hanging="850"/>
      </w:pPr>
      <w:rPr>
        <w:rFonts w:hint="default"/>
      </w:rPr>
    </w:lvl>
    <w:lvl w:ilvl="6">
      <w:start w:val="1"/>
      <w:numFmt w:val="bullet"/>
      <w:pStyle w:val="H7"/>
      <w:lvlText w:val="–"/>
      <w:lvlJc w:val="left"/>
      <w:pPr>
        <w:tabs>
          <w:tab w:val="num" w:pos="1417"/>
        </w:tabs>
        <w:ind w:left="1417"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8663695"/>
    <w:multiLevelType w:val="hybridMultilevel"/>
    <w:tmpl w:val="77A6A1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FE77D04"/>
    <w:multiLevelType w:val="hybridMultilevel"/>
    <w:tmpl w:val="B52E4D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A0F725F"/>
    <w:multiLevelType w:val="hybridMultilevel"/>
    <w:tmpl w:val="0EDA3F7A"/>
    <w:lvl w:ilvl="0" w:tplc="156658F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848251774">
    <w:abstractNumId w:val="3"/>
  </w:num>
  <w:num w:numId="2" w16cid:durableId="1822456049">
    <w:abstractNumId w:val="0"/>
  </w:num>
  <w:num w:numId="3" w16cid:durableId="1688364417">
    <w:abstractNumId w:val="2"/>
  </w:num>
  <w:num w:numId="4" w16cid:durableId="1908221946">
    <w:abstractNumId w:val="1"/>
  </w:num>
  <w:num w:numId="5" w16cid:durableId="1265990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1082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69"/>
    <w:rsid w:val="00016DB0"/>
    <w:rsid w:val="00047939"/>
    <w:rsid w:val="00047EEB"/>
    <w:rsid w:val="00072E92"/>
    <w:rsid w:val="00073DBD"/>
    <w:rsid w:val="000757A8"/>
    <w:rsid w:val="000823FF"/>
    <w:rsid w:val="000842B1"/>
    <w:rsid w:val="0008579B"/>
    <w:rsid w:val="000A65D2"/>
    <w:rsid w:val="000B1F39"/>
    <w:rsid w:val="000B3567"/>
    <w:rsid w:val="000B73CD"/>
    <w:rsid w:val="000C40BE"/>
    <w:rsid w:val="000E28B1"/>
    <w:rsid w:val="001133E5"/>
    <w:rsid w:val="00126687"/>
    <w:rsid w:val="001439A0"/>
    <w:rsid w:val="00156D71"/>
    <w:rsid w:val="00157B38"/>
    <w:rsid w:val="0017286B"/>
    <w:rsid w:val="00180B88"/>
    <w:rsid w:val="00193529"/>
    <w:rsid w:val="0019548B"/>
    <w:rsid w:val="001C1C00"/>
    <w:rsid w:val="001E240D"/>
    <w:rsid w:val="001E7394"/>
    <w:rsid w:val="002038DB"/>
    <w:rsid w:val="00203A83"/>
    <w:rsid w:val="00216EB7"/>
    <w:rsid w:val="00222128"/>
    <w:rsid w:val="00252A87"/>
    <w:rsid w:val="002633BB"/>
    <w:rsid w:val="00290E6C"/>
    <w:rsid w:val="00290EF8"/>
    <w:rsid w:val="002A3C24"/>
    <w:rsid w:val="002A7073"/>
    <w:rsid w:val="002D6AA3"/>
    <w:rsid w:val="002D7BAB"/>
    <w:rsid w:val="002E5C02"/>
    <w:rsid w:val="002E608A"/>
    <w:rsid w:val="002F6DAA"/>
    <w:rsid w:val="00301C5C"/>
    <w:rsid w:val="0030537A"/>
    <w:rsid w:val="00313233"/>
    <w:rsid w:val="00317966"/>
    <w:rsid w:val="00346399"/>
    <w:rsid w:val="00357ABD"/>
    <w:rsid w:val="003607C8"/>
    <w:rsid w:val="0036091C"/>
    <w:rsid w:val="003657BE"/>
    <w:rsid w:val="00376AF7"/>
    <w:rsid w:val="00395175"/>
    <w:rsid w:val="00395C7D"/>
    <w:rsid w:val="003D3A97"/>
    <w:rsid w:val="003D5F06"/>
    <w:rsid w:val="003F35ED"/>
    <w:rsid w:val="003F57E2"/>
    <w:rsid w:val="00407023"/>
    <w:rsid w:val="004115FD"/>
    <w:rsid w:val="00425A3C"/>
    <w:rsid w:val="00433180"/>
    <w:rsid w:val="00463A63"/>
    <w:rsid w:val="004662E1"/>
    <w:rsid w:val="004C5C93"/>
    <w:rsid w:val="004F0276"/>
    <w:rsid w:val="00517249"/>
    <w:rsid w:val="005316FF"/>
    <w:rsid w:val="00534660"/>
    <w:rsid w:val="005414B9"/>
    <w:rsid w:val="00566BBD"/>
    <w:rsid w:val="00572017"/>
    <w:rsid w:val="00583EF4"/>
    <w:rsid w:val="00587385"/>
    <w:rsid w:val="005912EC"/>
    <w:rsid w:val="005A08D2"/>
    <w:rsid w:val="005A1446"/>
    <w:rsid w:val="005C4072"/>
    <w:rsid w:val="005F7667"/>
    <w:rsid w:val="00613050"/>
    <w:rsid w:val="006159F8"/>
    <w:rsid w:val="006231C7"/>
    <w:rsid w:val="00645AAF"/>
    <w:rsid w:val="00663550"/>
    <w:rsid w:val="00666A4D"/>
    <w:rsid w:val="00684C79"/>
    <w:rsid w:val="00693B89"/>
    <w:rsid w:val="006A3B42"/>
    <w:rsid w:val="006A5F22"/>
    <w:rsid w:val="006D1595"/>
    <w:rsid w:val="00714C24"/>
    <w:rsid w:val="00722E4B"/>
    <w:rsid w:val="007257BA"/>
    <w:rsid w:val="007265CB"/>
    <w:rsid w:val="00742E69"/>
    <w:rsid w:val="0075129B"/>
    <w:rsid w:val="00756E51"/>
    <w:rsid w:val="00774914"/>
    <w:rsid w:val="007872F2"/>
    <w:rsid w:val="007A79EF"/>
    <w:rsid w:val="007B3D4D"/>
    <w:rsid w:val="007D1F56"/>
    <w:rsid w:val="007D6F4F"/>
    <w:rsid w:val="00812183"/>
    <w:rsid w:val="00817D65"/>
    <w:rsid w:val="008638A2"/>
    <w:rsid w:val="00864E2E"/>
    <w:rsid w:val="00867598"/>
    <w:rsid w:val="008A5AB4"/>
    <w:rsid w:val="008C0DD9"/>
    <w:rsid w:val="008C623F"/>
    <w:rsid w:val="008D600C"/>
    <w:rsid w:val="008D66FE"/>
    <w:rsid w:val="008E7F95"/>
    <w:rsid w:val="008F0026"/>
    <w:rsid w:val="009026BC"/>
    <w:rsid w:val="00921AD4"/>
    <w:rsid w:val="00941302"/>
    <w:rsid w:val="00950F0D"/>
    <w:rsid w:val="00954083"/>
    <w:rsid w:val="00967C8B"/>
    <w:rsid w:val="009848EE"/>
    <w:rsid w:val="00990696"/>
    <w:rsid w:val="0099070E"/>
    <w:rsid w:val="00997A35"/>
    <w:rsid w:val="009A7577"/>
    <w:rsid w:val="009B4A86"/>
    <w:rsid w:val="009C02AA"/>
    <w:rsid w:val="009C23DB"/>
    <w:rsid w:val="009D1297"/>
    <w:rsid w:val="009E2DF4"/>
    <w:rsid w:val="009E7206"/>
    <w:rsid w:val="00A06B24"/>
    <w:rsid w:val="00A523C6"/>
    <w:rsid w:val="00A57EE3"/>
    <w:rsid w:val="00A60854"/>
    <w:rsid w:val="00A718D1"/>
    <w:rsid w:val="00A83B18"/>
    <w:rsid w:val="00A91DB6"/>
    <w:rsid w:val="00AA2D3A"/>
    <w:rsid w:val="00AB612C"/>
    <w:rsid w:val="00AC20CB"/>
    <w:rsid w:val="00AC6F01"/>
    <w:rsid w:val="00AE1A5C"/>
    <w:rsid w:val="00AE4CE8"/>
    <w:rsid w:val="00AF0668"/>
    <w:rsid w:val="00AF25C8"/>
    <w:rsid w:val="00B0579B"/>
    <w:rsid w:val="00B12063"/>
    <w:rsid w:val="00B140B8"/>
    <w:rsid w:val="00B33FE7"/>
    <w:rsid w:val="00B34AC2"/>
    <w:rsid w:val="00B37DE7"/>
    <w:rsid w:val="00B41F16"/>
    <w:rsid w:val="00B464E1"/>
    <w:rsid w:val="00B46E0E"/>
    <w:rsid w:val="00B65A3A"/>
    <w:rsid w:val="00B6625D"/>
    <w:rsid w:val="00B77E9F"/>
    <w:rsid w:val="00B81944"/>
    <w:rsid w:val="00B820A3"/>
    <w:rsid w:val="00BA225D"/>
    <w:rsid w:val="00BD5F72"/>
    <w:rsid w:val="00BE3D91"/>
    <w:rsid w:val="00BF2E13"/>
    <w:rsid w:val="00C06D59"/>
    <w:rsid w:val="00C52D0D"/>
    <w:rsid w:val="00C609A4"/>
    <w:rsid w:val="00CB2721"/>
    <w:rsid w:val="00CB71F7"/>
    <w:rsid w:val="00CC49BD"/>
    <w:rsid w:val="00CE045E"/>
    <w:rsid w:val="00CE3168"/>
    <w:rsid w:val="00CE69FB"/>
    <w:rsid w:val="00D06364"/>
    <w:rsid w:val="00D07CA3"/>
    <w:rsid w:val="00D143B0"/>
    <w:rsid w:val="00D20863"/>
    <w:rsid w:val="00D25A13"/>
    <w:rsid w:val="00D31070"/>
    <w:rsid w:val="00D33552"/>
    <w:rsid w:val="00D40222"/>
    <w:rsid w:val="00D53234"/>
    <w:rsid w:val="00D85E04"/>
    <w:rsid w:val="00D863F2"/>
    <w:rsid w:val="00DB6721"/>
    <w:rsid w:val="00DF416A"/>
    <w:rsid w:val="00DF47E1"/>
    <w:rsid w:val="00E0068F"/>
    <w:rsid w:val="00E02F6A"/>
    <w:rsid w:val="00E04011"/>
    <w:rsid w:val="00E165ED"/>
    <w:rsid w:val="00E24716"/>
    <w:rsid w:val="00E30FFC"/>
    <w:rsid w:val="00E31165"/>
    <w:rsid w:val="00E432FB"/>
    <w:rsid w:val="00E4389A"/>
    <w:rsid w:val="00E56CB8"/>
    <w:rsid w:val="00E642F3"/>
    <w:rsid w:val="00E9501A"/>
    <w:rsid w:val="00EA3999"/>
    <w:rsid w:val="00EA6D26"/>
    <w:rsid w:val="00EE42CC"/>
    <w:rsid w:val="00EF410D"/>
    <w:rsid w:val="00EF5253"/>
    <w:rsid w:val="00EF60A2"/>
    <w:rsid w:val="00F046F0"/>
    <w:rsid w:val="00F1047D"/>
    <w:rsid w:val="00F2070A"/>
    <w:rsid w:val="00F31512"/>
    <w:rsid w:val="00F47310"/>
    <w:rsid w:val="00F72A72"/>
    <w:rsid w:val="00F83E99"/>
    <w:rsid w:val="00F86FB9"/>
    <w:rsid w:val="00F908CF"/>
    <w:rsid w:val="00F96D8B"/>
    <w:rsid w:val="00FA0919"/>
    <w:rsid w:val="00FB73FD"/>
    <w:rsid w:val="00FB746B"/>
    <w:rsid w:val="00FC4F20"/>
    <w:rsid w:val="00FD1ECA"/>
    <w:rsid w:val="00FD7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34F6"/>
  <w15:chartTrackingRefBased/>
  <w15:docId w15:val="{78123AEA-11A1-4925-916E-7E1A1AF5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04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907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06B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4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D9D9D9" w:themeColor="background1" w:themeShade="D9"/>
      </w:rPr>
    </w:tblStylePr>
  </w:style>
  <w:style w:type="paragraph" w:styleId="Zhlav">
    <w:name w:val="header"/>
    <w:basedOn w:val="Normln"/>
    <w:link w:val="ZhlavChar"/>
    <w:uiPriority w:val="99"/>
    <w:unhideWhenUsed/>
    <w:rsid w:val="00D335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3552"/>
  </w:style>
  <w:style w:type="paragraph" w:styleId="Zpat">
    <w:name w:val="footer"/>
    <w:basedOn w:val="Normln"/>
    <w:link w:val="ZpatChar"/>
    <w:uiPriority w:val="99"/>
    <w:unhideWhenUsed/>
    <w:rsid w:val="00D33552"/>
    <w:pPr>
      <w:tabs>
        <w:tab w:val="center" w:pos="4536"/>
        <w:tab w:val="right" w:pos="9072"/>
      </w:tabs>
      <w:spacing w:after="0" w:line="240" w:lineRule="auto"/>
    </w:pPr>
  </w:style>
  <w:style w:type="character" w:customStyle="1" w:styleId="ZpatChar">
    <w:name w:val="Zápatí Char"/>
    <w:basedOn w:val="Standardnpsmoodstavce"/>
    <w:link w:val="Zpat"/>
    <w:uiPriority w:val="99"/>
    <w:rsid w:val="00D33552"/>
  </w:style>
  <w:style w:type="paragraph" w:styleId="Odstavecseseznamem">
    <w:name w:val="List Paragraph"/>
    <w:basedOn w:val="Normln"/>
    <w:uiPriority w:val="34"/>
    <w:qFormat/>
    <w:rsid w:val="00D33552"/>
    <w:pPr>
      <w:ind w:left="720"/>
      <w:contextualSpacing/>
    </w:pPr>
  </w:style>
  <w:style w:type="character" w:customStyle="1" w:styleId="Nadpis1Char">
    <w:name w:val="Nadpis 1 Char"/>
    <w:basedOn w:val="Standardnpsmoodstavce"/>
    <w:link w:val="Nadpis1"/>
    <w:uiPriority w:val="9"/>
    <w:rsid w:val="00F1047D"/>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F1047D"/>
    <w:pPr>
      <w:outlineLvl w:val="9"/>
    </w:pPr>
    <w:rPr>
      <w:lang w:eastAsia="cs-CZ"/>
    </w:rPr>
  </w:style>
  <w:style w:type="paragraph" w:styleId="Obsah1">
    <w:name w:val="toc 1"/>
    <w:basedOn w:val="Normln"/>
    <w:next w:val="Normln"/>
    <w:autoRedefine/>
    <w:uiPriority w:val="39"/>
    <w:unhideWhenUsed/>
    <w:rsid w:val="00F1047D"/>
    <w:pPr>
      <w:spacing w:before="120" w:after="120"/>
    </w:pPr>
    <w:rPr>
      <w:rFonts w:cstheme="minorHAnsi"/>
      <w:b/>
      <w:bCs/>
      <w:caps/>
      <w:sz w:val="20"/>
      <w:szCs w:val="20"/>
    </w:rPr>
  </w:style>
  <w:style w:type="paragraph" w:styleId="Obsah2">
    <w:name w:val="toc 2"/>
    <w:basedOn w:val="Normln"/>
    <w:next w:val="Normln"/>
    <w:autoRedefine/>
    <w:uiPriority w:val="39"/>
    <w:unhideWhenUsed/>
    <w:rsid w:val="00F1047D"/>
    <w:pPr>
      <w:spacing w:after="0"/>
      <w:ind w:left="220"/>
    </w:pPr>
    <w:rPr>
      <w:rFonts w:cstheme="minorHAnsi"/>
      <w:smallCaps/>
      <w:sz w:val="20"/>
      <w:szCs w:val="20"/>
    </w:rPr>
  </w:style>
  <w:style w:type="paragraph" w:styleId="Obsah3">
    <w:name w:val="toc 3"/>
    <w:basedOn w:val="Normln"/>
    <w:next w:val="Normln"/>
    <w:autoRedefine/>
    <w:uiPriority w:val="39"/>
    <w:unhideWhenUsed/>
    <w:rsid w:val="00F1047D"/>
    <w:pPr>
      <w:spacing w:after="0"/>
      <w:ind w:left="440"/>
    </w:pPr>
    <w:rPr>
      <w:rFonts w:cstheme="minorHAnsi"/>
      <w:i/>
      <w:iCs/>
      <w:sz w:val="20"/>
      <w:szCs w:val="20"/>
    </w:rPr>
  </w:style>
  <w:style w:type="paragraph" w:styleId="Obsah4">
    <w:name w:val="toc 4"/>
    <w:basedOn w:val="Normln"/>
    <w:next w:val="Normln"/>
    <w:autoRedefine/>
    <w:uiPriority w:val="39"/>
    <w:unhideWhenUsed/>
    <w:rsid w:val="00F1047D"/>
    <w:pPr>
      <w:spacing w:after="0"/>
      <w:ind w:left="660"/>
    </w:pPr>
    <w:rPr>
      <w:rFonts w:cstheme="minorHAnsi"/>
      <w:sz w:val="18"/>
      <w:szCs w:val="18"/>
    </w:rPr>
  </w:style>
  <w:style w:type="paragraph" w:styleId="Obsah5">
    <w:name w:val="toc 5"/>
    <w:basedOn w:val="Normln"/>
    <w:next w:val="Normln"/>
    <w:autoRedefine/>
    <w:uiPriority w:val="39"/>
    <w:unhideWhenUsed/>
    <w:rsid w:val="00F1047D"/>
    <w:pPr>
      <w:spacing w:after="0"/>
      <w:ind w:left="880"/>
    </w:pPr>
    <w:rPr>
      <w:rFonts w:cstheme="minorHAnsi"/>
      <w:sz w:val="18"/>
      <w:szCs w:val="18"/>
    </w:rPr>
  </w:style>
  <w:style w:type="paragraph" w:styleId="Obsah6">
    <w:name w:val="toc 6"/>
    <w:basedOn w:val="Normln"/>
    <w:next w:val="Normln"/>
    <w:autoRedefine/>
    <w:uiPriority w:val="39"/>
    <w:unhideWhenUsed/>
    <w:rsid w:val="00F1047D"/>
    <w:pPr>
      <w:spacing w:after="0"/>
      <w:ind w:left="1100"/>
    </w:pPr>
    <w:rPr>
      <w:rFonts w:cstheme="minorHAnsi"/>
      <w:sz w:val="18"/>
      <w:szCs w:val="18"/>
    </w:rPr>
  </w:style>
  <w:style w:type="paragraph" w:styleId="Obsah7">
    <w:name w:val="toc 7"/>
    <w:basedOn w:val="Normln"/>
    <w:next w:val="Normln"/>
    <w:autoRedefine/>
    <w:uiPriority w:val="39"/>
    <w:unhideWhenUsed/>
    <w:rsid w:val="00F1047D"/>
    <w:pPr>
      <w:spacing w:after="0"/>
      <w:ind w:left="1320"/>
    </w:pPr>
    <w:rPr>
      <w:rFonts w:cstheme="minorHAnsi"/>
      <w:sz w:val="18"/>
      <w:szCs w:val="18"/>
    </w:rPr>
  </w:style>
  <w:style w:type="paragraph" w:styleId="Obsah8">
    <w:name w:val="toc 8"/>
    <w:basedOn w:val="Normln"/>
    <w:next w:val="Normln"/>
    <w:autoRedefine/>
    <w:uiPriority w:val="39"/>
    <w:unhideWhenUsed/>
    <w:rsid w:val="00F1047D"/>
    <w:pPr>
      <w:spacing w:after="0"/>
      <w:ind w:left="1540"/>
    </w:pPr>
    <w:rPr>
      <w:rFonts w:cstheme="minorHAnsi"/>
      <w:sz w:val="18"/>
      <w:szCs w:val="18"/>
    </w:rPr>
  </w:style>
  <w:style w:type="paragraph" w:styleId="Obsah9">
    <w:name w:val="toc 9"/>
    <w:basedOn w:val="Normln"/>
    <w:next w:val="Normln"/>
    <w:autoRedefine/>
    <w:uiPriority w:val="39"/>
    <w:unhideWhenUsed/>
    <w:rsid w:val="00F1047D"/>
    <w:pPr>
      <w:spacing w:after="0"/>
      <w:ind w:left="1760"/>
    </w:pPr>
    <w:rPr>
      <w:rFonts w:cstheme="minorHAnsi"/>
      <w:sz w:val="18"/>
      <w:szCs w:val="18"/>
    </w:rPr>
  </w:style>
  <w:style w:type="paragraph" w:customStyle="1" w:styleId="Styl1">
    <w:name w:val="Styl1"/>
    <w:basedOn w:val="Nadpis1"/>
    <w:link w:val="Styl1Char"/>
    <w:qFormat/>
    <w:rsid w:val="00EF410D"/>
    <w:rPr>
      <w:rFonts w:ascii="Times New Roman" w:hAnsi="Times New Roman" w:cs="Times New Roman"/>
      <w:b/>
      <w:bCs/>
      <w:color w:val="000000" w:themeColor="text1"/>
      <w:sz w:val="24"/>
      <w:szCs w:val="24"/>
    </w:rPr>
  </w:style>
  <w:style w:type="character" w:styleId="Hypertextovodkaz">
    <w:name w:val="Hyperlink"/>
    <w:basedOn w:val="Standardnpsmoodstavce"/>
    <w:uiPriority w:val="99"/>
    <w:unhideWhenUsed/>
    <w:rsid w:val="00FD1ECA"/>
    <w:rPr>
      <w:color w:val="0563C1" w:themeColor="hyperlink"/>
      <w:u w:val="single"/>
    </w:rPr>
  </w:style>
  <w:style w:type="character" w:customStyle="1" w:styleId="Styl1Char">
    <w:name w:val="Styl1 Char"/>
    <w:basedOn w:val="Nadpis1Char"/>
    <w:link w:val="Styl1"/>
    <w:rsid w:val="00EF410D"/>
    <w:rPr>
      <w:rFonts w:ascii="Times New Roman" w:eastAsiaTheme="majorEastAsia" w:hAnsi="Times New Roman" w:cs="Times New Roman"/>
      <w:b/>
      <w:bCs/>
      <w:color w:val="000000" w:themeColor="text1"/>
      <w:sz w:val="24"/>
      <w:szCs w:val="24"/>
    </w:rPr>
  </w:style>
  <w:style w:type="character" w:customStyle="1" w:styleId="Nadpis2Char">
    <w:name w:val="Nadpis 2 Char"/>
    <w:basedOn w:val="Standardnpsmoodstavce"/>
    <w:link w:val="Nadpis2"/>
    <w:uiPriority w:val="9"/>
    <w:rsid w:val="0099070E"/>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06B24"/>
    <w:rPr>
      <w:rFonts w:asciiTheme="majorHAnsi" w:eastAsiaTheme="majorEastAsia" w:hAnsiTheme="majorHAnsi" w:cstheme="majorBidi"/>
      <w:color w:val="1F3763" w:themeColor="accent1" w:themeShade="7F"/>
      <w:sz w:val="24"/>
      <w:szCs w:val="24"/>
    </w:rPr>
  </w:style>
  <w:style w:type="paragraph" w:customStyle="1" w:styleId="H1">
    <w:name w:val="H1"/>
    <w:basedOn w:val="Normln"/>
    <w:next w:val="text1"/>
    <w:locked/>
    <w:rsid w:val="00216EB7"/>
    <w:pPr>
      <w:keepNext/>
      <w:keepLines/>
      <w:numPr>
        <w:numId w:val="4"/>
      </w:numPr>
      <w:suppressAutoHyphens/>
      <w:spacing w:before="120" w:after="120" w:line="288" w:lineRule="auto"/>
      <w:jc w:val="both"/>
      <w:outlineLvl w:val="0"/>
    </w:pPr>
    <w:rPr>
      <w:rFonts w:ascii="Calibri" w:eastAsia="Times New Roman" w:hAnsi="Calibri" w:cs="Times New Roman"/>
      <w:b/>
      <w:caps/>
      <w:color w:val="000000"/>
      <w:szCs w:val="21"/>
      <w:lang w:eastAsia="pl-PL"/>
    </w:rPr>
  </w:style>
  <w:style w:type="paragraph" w:customStyle="1" w:styleId="H2">
    <w:name w:val="H2"/>
    <w:basedOn w:val="Normln"/>
    <w:next w:val="text1x"/>
    <w:locked/>
    <w:rsid w:val="00216EB7"/>
    <w:pPr>
      <w:numPr>
        <w:ilvl w:val="1"/>
        <w:numId w:val="4"/>
      </w:numPr>
      <w:suppressAutoHyphens/>
      <w:spacing w:before="120" w:after="120" w:line="288" w:lineRule="auto"/>
      <w:jc w:val="both"/>
      <w:outlineLvl w:val="1"/>
    </w:pPr>
    <w:rPr>
      <w:rFonts w:ascii="Calibri" w:eastAsia="Times New Roman" w:hAnsi="Calibri" w:cs="Times New Roman"/>
      <w:color w:val="000000"/>
      <w:szCs w:val="24"/>
      <w:lang w:eastAsia="pl-PL"/>
    </w:rPr>
  </w:style>
  <w:style w:type="paragraph" w:customStyle="1" w:styleId="H5">
    <w:name w:val="H5"/>
    <w:basedOn w:val="Normln"/>
    <w:rsid w:val="00216EB7"/>
    <w:pPr>
      <w:numPr>
        <w:ilvl w:val="4"/>
        <w:numId w:val="4"/>
      </w:numPr>
      <w:tabs>
        <w:tab w:val="left" w:pos="2268"/>
        <w:tab w:val="left" w:pos="3119"/>
      </w:tabs>
      <w:spacing w:before="120" w:after="120" w:line="288" w:lineRule="auto"/>
      <w:jc w:val="both"/>
      <w:outlineLvl w:val="4"/>
    </w:pPr>
    <w:rPr>
      <w:rFonts w:ascii="Calibri" w:eastAsia="Times New Roman" w:hAnsi="Calibri" w:cs="Times New Roman"/>
      <w:color w:val="000000"/>
      <w:szCs w:val="24"/>
      <w:lang w:eastAsia="pl-PL"/>
    </w:rPr>
  </w:style>
  <w:style w:type="paragraph" w:customStyle="1" w:styleId="H3">
    <w:name w:val="H3"/>
    <w:basedOn w:val="Normln"/>
    <w:next w:val="Normln"/>
    <w:rsid w:val="00216EB7"/>
    <w:pPr>
      <w:numPr>
        <w:ilvl w:val="2"/>
        <w:numId w:val="4"/>
      </w:numPr>
      <w:tabs>
        <w:tab w:val="left" w:pos="1418"/>
      </w:tabs>
      <w:suppressAutoHyphens/>
      <w:spacing w:before="120" w:after="120" w:line="288" w:lineRule="auto"/>
      <w:jc w:val="both"/>
      <w:outlineLvl w:val="2"/>
    </w:pPr>
    <w:rPr>
      <w:rFonts w:ascii="Calibri" w:eastAsia="Times New Roman" w:hAnsi="Calibri" w:cs="Times New Roman"/>
      <w:color w:val="000000"/>
      <w:szCs w:val="24"/>
      <w:lang w:eastAsia="pl-PL"/>
    </w:rPr>
  </w:style>
  <w:style w:type="paragraph" w:customStyle="1" w:styleId="H4">
    <w:name w:val="H4"/>
    <w:basedOn w:val="Normln"/>
    <w:next w:val="text1xxx"/>
    <w:locked/>
    <w:rsid w:val="00216EB7"/>
    <w:pPr>
      <w:numPr>
        <w:ilvl w:val="3"/>
        <w:numId w:val="4"/>
      </w:numPr>
      <w:suppressAutoHyphens/>
      <w:spacing w:before="120" w:after="120" w:line="288" w:lineRule="auto"/>
      <w:jc w:val="both"/>
    </w:pPr>
    <w:rPr>
      <w:rFonts w:ascii="Calibri" w:eastAsia="Times New Roman" w:hAnsi="Calibri" w:cs="Times New Roman"/>
      <w:color w:val="000000"/>
      <w:szCs w:val="24"/>
      <w:lang w:eastAsia="pl-PL"/>
    </w:rPr>
  </w:style>
  <w:style w:type="paragraph" w:customStyle="1" w:styleId="H6">
    <w:name w:val="H6"/>
    <w:basedOn w:val="Normln"/>
    <w:rsid w:val="00216EB7"/>
    <w:pPr>
      <w:numPr>
        <w:ilvl w:val="5"/>
        <w:numId w:val="4"/>
      </w:numPr>
      <w:tabs>
        <w:tab w:val="left" w:pos="2268"/>
        <w:tab w:val="left" w:pos="3119"/>
      </w:tabs>
      <w:spacing w:before="120" w:after="120" w:line="288" w:lineRule="auto"/>
      <w:jc w:val="both"/>
      <w:outlineLvl w:val="5"/>
    </w:pPr>
    <w:rPr>
      <w:rFonts w:ascii="Calibri" w:eastAsia="Times New Roman" w:hAnsi="Calibri" w:cs="Times New Roman"/>
      <w:color w:val="000000"/>
      <w:szCs w:val="24"/>
      <w:lang w:eastAsia="pl-PL"/>
    </w:rPr>
  </w:style>
  <w:style w:type="paragraph" w:customStyle="1" w:styleId="H7">
    <w:name w:val="H7"/>
    <w:basedOn w:val="Normln"/>
    <w:rsid w:val="00216EB7"/>
    <w:pPr>
      <w:numPr>
        <w:ilvl w:val="6"/>
        <w:numId w:val="4"/>
      </w:numPr>
      <w:tabs>
        <w:tab w:val="left" w:pos="2268"/>
        <w:tab w:val="left" w:pos="3119"/>
        <w:tab w:val="left" w:pos="3969"/>
      </w:tabs>
      <w:spacing w:before="120" w:after="120" w:line="288" w:lineRule="auto"/>
      <w:jc w:val="both"/>
      <w:outlineLvl w:val="6"/>
    </w:pPr>
    <w:rPr>
      <w:rFonts w:ascii="Calibri" w:eastAsia="Times New Roman" w:hAnsi="Calibri" w:cs="Times New Roman"/>
      <w:color w:val="000000"/>
      <w:szCs w:val="24"/>
      <w:lang w:eastAsia="pl-PL"/>
    </w:rPr>
  </w:style>
  <w:style w:type="paragraph" w:customStyle="1" w:styleId="Tytu1">
    <w:name w:val="Tytuł1"/>
    <w:basedOn w:val="Normln"/>
    <w:rsid w:val="00216EB7"/>
    <w:pPr>
      <w:spacing w:before="120" w:after="120" w:line="288" w:lineRule="auto"/>
    </w:pPr>
    <w:rPr>
      <w:rFonts w:ascii="Calibri" w:eastAsia="Calibri" w:hAnsi="Calibri" w:cs="Times New Roman"/>
      <w:b/>
      <w:caps/>
      <w:color w:val="000000"/>
    </w:rPr>
  </w:style>
  <w:style w:type="paragraph" w:customStyle="1" w:styleId="text1">
    <w:name w:val="text 1"/>
    <w:basedOn w:val="Normln"/>
    <w:rsid w:val="00216EB7"/>
    <w:pPr>
      <w:spacing w:before="120" w:after="120" w:line="288" w:lineRule="auto"/>
      <w:ind w:left="567"/>
      <w:jc w:val="both"/>
    </w:pPr>
    <w:rPr>
      <w:rFonts w:ascii="Calibri" w:eastAsia="Calibri" w:hAnsi="Calibri" w:cs="Times New Roman"/>
      <w:color w:val="000000"/>
    </w:rPr>
  </w:style>
  <w:style w:type="paragraph" w:customStyle="1" w:styleId="text1x">
    <w:name w:val="text 1.x"/>
    <w:basedOn w:val="text1"/>
    <w:rsid w:val="00216EB7"/>
  </w:style>
  <w:style w:type="paragraph" w:customStyle="1" w:styleId="text1xxx">
    <w:name w:val="text 1.xxx"/>
    <w:basedOn w:val="Normln"/>
    <w:rsid w:val="00216EB7"/>
    <w:pPr>
      <w:spacing w:before="120" w:after="120" w:line="288" w:lineRule="auto"/>
      <w:ind w:left="2268"/>
      <w:jc w:val="both"/>
    </w:pPr>
    <w:rPr>
      <w:rFonts w:ascii="Calibri" w:eastAsia="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1BF98F6360EE4184C693A659FB119B" ma:contentTypeVersion="19" ma:contentTypeDescription="Vytvoří nový dokument" ma:contentTypeScope="" ma:versionID="69bfa5c2e17644aa04de90560b6e82ef">
  <xsd:schema xmlns:xsd="http://www.w3.org/2001/XMLSchema" xmlns:xs="http://www.w3.org/2001/XMLSchema" xmlns:p="http://schemas.microsoft.com/office/2006/metadata/properties" xmlns:ns1="http://schemas.microsoft.com/sharepoint/v3" xmlns:ns2="a91b5c6f-71cd-4d47-9be6-13e7bc0a2ed7" xmlns:ns3="0c3b1224-8159-4f79-aef2-028bc1c4b76a" targetNamespace="http://schemas.microsoft.com/office/2006/metadata/properties" ma:root="true" ma:fieldsID="7d9428f4ea75b89b75cf7cc0e6dfe4a2" ns1:_="" ns2:_="" ns3:_="">
    <xsd:import namespace="http://schemas.microsoft.com/sharepoint/v3"/>
    <xsd:import namespace="a91b5c6f-71cd-4d47-9be6-13e7bc0a2ed7"/>
    <xsd:import namespace="0c3b1224-8159-4f79-aef2-028bc1c4b7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ObjectDetectorVersion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Vlastnosti zásad jednotného dodržování předpisů" ma:hidden="true" ma:internalName="_ip_UnifiedCompliancePolicyProperties">
      <xsd:simpleType>
        <xsd:restriction base="dms:Note"/>
      </xsd:simpleType>
    </xsd:element>
    <xsd:element name="_ip_UnifiedCompliancePolicyUIAction" ma:index="26"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1b5c6f-71cd-4d47-9be6-13e7bc0a2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7393fc0-cc79-4901-a3c8-d30240d76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3b1224-8159-4f79-aef2-028bc1c4b76a"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ff9d346f-6107-4bc5-9955-0e45cb45f136}" ma:internalName="TaxCatchAll" ma:showField="CatchAllData" ma:web="0c3b1224-8159-4f79-aef2-028bc1c4b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91b5c6f-71cd-4d47-9be6-13e7bc0a2ed7">
      <Terms xmlns="http://schemas.microsoft.com/office/infopath/2007/PartnerControls"/>
    </lcf76f155ced4ddcb4097134ff3c332f>
    <TaxCatchAll xmlns="0c3b1224-8159-4f79-aef2-028bc1c4b76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619518-9FB4-4B03-B8CC-734437276A2C}">
  <ds:schemaRefs>
    <ds:schemaRef ds:uri="http://schemas.microsoft.com/sharepoint/v3/contenttype/forms"/>
  </ds:schemaRefs>
</ds:datastoreItem>
</file>

<file path=customXml/itemProps2.xml><?xml version="1.0" encoding="utf-8"?>
<ds:datastoreItem xmlns:ds="http://schemas.openxmlformats.org/officeDocument/2006/customXml" ds:itemID="{D4479378-A6F7-48DB-AF6C-BCA437FFF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1b5c6f-71cd-4d47-9be6-13e7bc0a2ed7"/>
    <ds:schemaRef ds:uri="0c3b1224-8159-4f79-aef2-028bc1c4b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D6BA4-4696-4D1A-BEC6-7F319D3D4D65}">
  <ds:schemaRefs>
    <ds:schemaRef ds:uri="http://schemas.openxmlformats.org/officeDocument/2006/bibliography"/>
  </ds:schemaRefs>
</ds:datastoreItem>
</file>

<file path=customXml/itemProps4.xml><?xml version="1.0" encoding="utf-8"?>
<ds:datastoreItem xmlns:ds="http://schemas.openxmlformats.org/officeDocument/2006/customXml" ds:itemID="{8058D8D7-C0C2-4789-BA8C-4F758B929110}">
  <ds:schemaRefs>
    <ds:schemaRef ds:uri="http://schemas.microsoft.com/office/2006/metadata/properties"/>
    <ds:schemaRef ds:uri="http://schemas.microsoft.com/office/infopath/2007/PartnerControls"/>
    <ds:schemaRef ds:uri="http://schemas.microsoft.com/sharepoint/v3"/>
    <ds:schemaRef ds:uri="a91b5c6f-71cd-4d47-9be6-13e7bc0a2ed7"/>
    <ds:schemaRef ds:uri="0c3b1224-8159-4f79-aef2-028bc1c4b76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3660</Words>
  <Characters>21596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Hebelková</dc:creator>
  <cp:keywords/>
  <dc:description/>
  <cp:lastModifiedBy>Darina Ličková</cp:lastModifiedBy>
  <cp:revision>4</cp:revision>
  <dcterms:created xsi:type="dcterms:W3CDTF">2025-09-10T13:21:00Z</dcterms:created>
  <dcterms:modified xsi:type="dcterms:W3CDTF">2025-09-24T06:48:00Z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0x010100F91BF98F6360EE4184C693A659FB119B</vt:lpwstr>
  </property>
  <property fmtid="{D5CDD505-2E9C-101B-9397-08002B2CF9AE}" pid="3" name="MediaServiceImageTags">
    <vt:lpwstr/>
  </property>
</Properties>
</file>